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theme/themeOverride5.xml" ContentType="application/vnd.openxmlformats-officedocument.themeOverride+xml"/>
  <Override PartName="/word/charts/chart6.xml" ContentType="application/vnd.openxmlformats-officedocument.drawingml.chart+xml"/>
  <Override PartName="/word/theme/themeOverride6.xml" ContentType="application/vnd.openxmlformats-officedocument.themeOverride+xml"/>
  <Override PartName="/word/charts/chart7.xml" ContentType="application/vnd.openxmlformats-officedocument.drawingml.chart+xml"/>
  <Override PartName="/word/theme/themeOverride7.xml" ContentType="application/vnd.openxmlformats-officedocument.themeOverride+xml"/>
  <Override PartName="/word/charts/chart8.xml" ContentType="application/vnd.openxmlformats-officedocument.drawingml.chart+xml"/>
  <Override PartName="/word/theme/themeOverride8.xml" ContentType="application/vnd.openxmlformats-officedocument.themeOverride+xml"/>
  <Override PartName="/word/charts/chart9.xml" ContentType="application/vnd.openxmlformats-officedocument.drawingml.chart+xml"/>
  <Override PartName="/word/theme/themeOverride9.xml" ContentType="application/vnd.openxmlformats-officedocument.themeOverride+xml"/>
  <Override PartName="/word/charts/chart10.xml" ContentType="application/vnd.openxmlformats-officedocument.drawingml.chart+xml"/>
  <Override PartName="/word/theme/themeOverride10.xml" ContentType="application/vnd.openxmlformats-officedocument.themeOverride+xml"/>
  <Override PartName="/word/charts/chart11.xml" ContentType="application/vnd.openxmlformats-officedocument.drawingml.chart+xml"/>
  <Override PartName="/word/theme/themeOverride11.xml" ContentType="application/vnd.openxmlformats-officedocument.themeOverride+xml"/>
  <Override PartName="/word/charts/chart12.xml" ContentType="application/vnd.openxmlformats-officedocument.drawingml.chart+xml"/>
  <Override PartName="/word/theme/themeOverride1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A7DE7" w14:textId="7BC2E4B6" w:rsidR="00A3477A" w:rsidRDefault="00A3477A" w:rsidP="00A3477A">
      <w:pPr>
        <w:pStyle w:val="Heading1"/>
      </w:pPr>
      <w:bookmarkStart w:id="0" w:name="_Toc22647350"/>
      <w:r>
        <w:t>Q</w:t>
      </w:r>
      <w:r w:rsidRPr="00F35ED8">
        <w:t xml:space="preserve">uantity </w:t>
      </w:r>
      <w:r>
        <w:t>T</w:t>
      </w:r>
      <w:r w:rsidRPr="00F35ED8">
        <w:t xml:space="preserve">heory of </w:t>
      </w:r>
      <w:r>
        <w:t>C</w:t>
      </w:r>
      <w:r w:rsidRPr="00F35ED8">
        <w:t>redit</w:t>
      </w:r>
      <w:bookmarkEnd w:id="0"/>
    </w:p>
    <w:p w14:paraId="658CD165" w14:textId="1263292D" w:rsidR="00A3477A" w:rsidRDefault="00A3477A" w:rsidP="008665C0">
      <w:pPr>
        <w:pStyle w:val="Heading2"/>
        <w:numPr>
          <w:ilvl w:val="0"/>
          <w:numId w:val="1"/>
        </w:numPr>
      </w:pPr>
      <w:bookmarkStart w:id="1" w:name="_Toc22647351"/>
      <w:r>
        <w:t>Introduction</w:t>
      </w:r>
      <w:bookmarkEnd w:id="1"/>
    </w:p>
    <w:p w14:paraId="403F2955" w14:textId="77777777" w:rsidR="0077607D" w:rsidRDefault="00A3477A" w:rsidP="0077607D">
      <w:r>
        <w:t>I will use the Quantity Theory of Credit to argue that th</w:t>
      </w:r>
      <w:r w:rsidRPr="00DF0BC6">
        <w:t>e primary constrain</w:t>
      </w:r>
      <w:r>
        <w:t>t on</w:t>
      </w:r>
      <w:r w:rsidRPr="00DF0BC6">
        <w:t xml:space="preserve"> United Kingdom economic development is an imbalance between the funds allocated by </w:t>
      </w:r>
      <w:r>
        <w:t>commercial banks</w:t>
      </w:r>
      <w:r w:rsidRPr="00DF0BC6">
        <w:t xml:space="preserve"> for investment in activities that </w:t>
      </w:r>
      <w:r>
        <w:t>generate</w:t>
      </w:r>
      <w:r w:rsidRPr="00DF0BC6">
        <w:t xml:space="preserve"> output of additional new </w:t>
      </w:r>
      <w:r>
        <w:t>goods</w:t>
      </w:r>
      <w:r w:rsidRPr="00DF0BC6">
        <w:t xml:space="preserve"> and services in the economy </w:t>
      </w:r>
      <w:r>
        <w:t>that</w:t>
      </w:r>
      <w:r w:rsidRPr="00DF0BC6">
        <w:t xml:space="preserve"> increase GDP, and allocation of capital for speculation in property and financial assets. </w:t>
      </w:r>
      <w:r w:rsidRPr="00A8099B">
        <w:t>Since the 1980s bank credit creation has expanded at a considerably faster rate than growth in GDP</w:t>
      </w:r>
      <w:r>
        <w:t xml:space="preserve"> (please see </w:t>
      </w:r>
      <w:r>
        <w:fldChar w:fldCharType="begin"/>
      </w:r>
      <w:r>
        <w:instrText xml:space="preserve"> REF _Ref521688203 \h </w:instrText>
      </w:r>
      <w:r>
        <w:fldChar w:fldCharType="separate"/>
      </w:r>
      <w:r>
        <w:t xml:space="preserve">figure </w:t>
      </w:r>
      <w:r>
        <w:rPr>
          <w:noProof/>
        </w:rPr>
        <w:t>1</w:t>
      </w:r>
      <w:r>
        <w:fldChar w:fldCharType="end"/>
      </w:r>
      <w:r>
        <w:t>)</w:t>
      </w:r>
      <w:r w:rsidRPr="00A8099B">
        <w:t>, which indicat</w:t>
      </w:r>
      <w:r>
        <w:t>es</w:t>
      </w:r>
      <w:r w:rsidRPr="00A8099B">
        <w:t xml:space="preserve"> an increasing amount of bank credit money creation </w:t>
      </w:r>
      <w:r>
        <w:t xml:space="preserve">is </w:t>
      </w:r>
      <w:r w:rsidRPr="00A8099B">
        <w:t>being channelled</w:t>
      </w:r>
      <w:r>
        <w:t xml:space="preserve"> towards the</w:t>
      </w:r>
      <w:r w:rsidRPr="00A8099B">
        <w:t xml:space="preserve"> purchas</w:t>
      </w:r>
      <w:r>
        <w:t>e</w:t>
      </w:r>
      <w:r w:rsidRPr="00A8099B">
        <w:t xml:space="preserve"> of</w:t>
      </w:r>
      <w:r>
        <w:t xml:space="preserve"> existing</w:t>
      </w:r>
      <w:r w:rsidRPr="00A8099B">
        <w:t xml:space="preserve"> financial and property assets</w:t>
      </w:r>
      <w:r>
        <w:t xml:space="preserve"> that are not included within GDP</w:t>
      </w:r>
      <w:r w:rsidRPr="00A8099B">
        <w:t>, with the resulting misallocation</w:t>
      </w:r>
      <w:r>
        <w:t xml:space="preserve"> of capital</w:t>
      </w:r>
      <w:r w:rsidRPr="00A8099B">
        <w:t xml:space="preserve"> sowing the seeds of a future financial crisis.</w:t>
      </w:r>
      <w:r>
        <w:t xml:space="preserve"> </w:t>
      </w:r>
      <w:r w:rsidR="0077607D">
        <w:t xml:space="preserve">Adair Turner </w:t>
      </w:r>
      <w:r w:rsidR="0077607D">
        <w:rPr>
          <w:noProof/>
        </w:rPr>
        <w:t>(2017, p. 6)</w:t>
      </w:r>
      <w:r w:rsidR="0077607D">
        <w:t xml:space="preserve"> states:</w:t>
      </w:r>
    </w:p>
    <w:p w14:paraId="52217BA4" w14:textId="77777777" w:rsidR="0077607D" w:rsidRDefault="0077607D" w:rsidP="0077607D">
      <w:r w:rsidRPr="008F390F">
        <w:t>“The vast majority of bank lending in advanced economies does not support new business investment but instead funds either increased consumption, or the purchase of already existing assets, in particular real estate.  Real estate is relatively fixed in supply, and consequently the transfer of funds to this sector leads to asset price increases that induce yet more credit demand and more credit supply, which is at the core of financial instability in modern economies”.</w:t>
      </w:r>
    </w:p>
    <w:p w14:paraId="281510BA" w14:textId="2ECC982C" w:rsidR="00902D33" w:rsidRDefault="00A3477A" w:rsidP="00902D33">
      <w:r w:rsidRPr="00DF0BC6">
        <w:t>Th</w:t>
      </w:r>
      <w:r>
        <w:t>ese</w:t>
      </w:r>
      <w:r w:rsidRPr="00DF0BC6">
        <w:t xml:space="preserve"> imbalance</w:t>
      </w:r>
      <w:r>
        <w:t>s</w:t>
      </w:r>
      <w:r w:rsidRPr="00DF0BC6">
        <w:t xml:space="preserve"> cannot be rectified by continuing to allocate large</w:t>
      </w:r>
      <w:r>
        <w:t xml:space="preserve"> quantities</w:t>
      </w:r>
      <w:r w:rsidRPr="00DF0BC6">
        <w:t xml:space="preserve"> of new credit money to purchase existing assets for speculation. Instead, there needs to be a reallocation of new credit money to facilitate productive investment in businesses.</w:t>
      </w:r>
      <w:r w:rsidR="00902D33" w:rsidRPr="00902D33">
        <w:t xml:space="preserve"> </w:t>
      </w:r>
      <w:r w:rsidR="00902D33">
        <w:t xml:space="preserve">The failure of the government and central bank to resolve the significant imbalances in commercial bank lending between GDP transactions and non-GDP transactions will provide the basis for the next financial crisis. </w:t>
      </w:r>
      <w:r w:rsidR="008665C0">
        <w:t xml:space="preserve">Allocation of new credit money to productive investment creates a more sustainable financial system. </w:t>
      </w:r>
      <w:r w:rsidR="00902D33">
        <w:t xml:space="preserve">Lending for investment that increases GDP transactions is economically sustainable, because the value-added generated from producing new goods and services that increase GDP is used to finance repayment of </w:t>
      </w:r>
      <w:r w:rsidR="008665C0">
        <w:t xml:space="preserve">loan capital and interest on </w:t>
      </w:r>
      <w:r w:rsidR="00902D33">
        <w:t xml:space="preserve">borrowing, with the remainder of retained earnings being distributed between stakeholders </w:t>
      </w:r>
      <w:r w:rsidR="008665C0">
        <w:t xml:space="preserve">of the value-added creating organisation </w:t>
      </w:r>
      <w:r w:rsidR="00902D33">
        <w:t>to increase factor incomes within the economy.</w:t>
      </w:r>
      <w:r w:rsidR="008665C0">
        <w:t xml:space="preserve"> </w:t>
      </w:r>
      <w:r w:rsidR="00902D33">
        <w:t xml:space="preserve">Whereas allocation of lending for non-GDP transactions creates asset bubbles. The next financial crisis is likely to be deeper than the 2007 financial crisis due to increased levels of debt, and increased imbalance in commercial banks’ lending between GDP and non-GDP sectors of the economy. </w:t>
      </w:r>
    </w:p>
    <w:p w14:paraId="3FBB739C" w14:textId="382D3D99" w:rsidR="00A3477A" w:rsidRDefault="00A3477A" w:rsidP="00A3477A">
      <w:pPr>
        <w:pStyle w:val="Caption"/>
      </w:pPr>
      <w:bookmarkStart w:id="2" w:name="_Ref521688203"/>
      <w:r>
        <w:t xml:space="preserve">Figure </w:t>
      </w:r>
      <w:r>
        <w:rPr>
          <w:noProof/>
        </w:rPr>
        <w:fldChar w:fldCharType="begin"/>
      </w:r>
      <w:r>
        <w:rPr>
          <w:noProof/>
        </w:rPr>
        <w:instrText xml:space="preserve"> SEQ Figure \* ARABIC </w:instrText>
      </w:r>
      <w:r>
        <w:rPr>
          <w:noProof/>
        </w:rPr>
        <w:fldChar w:fldCharType="separate"/>
      </w:r>
      <w:r w:rsidR="0055274F">
        <w:rPr>
          <w:noProof/>
        </w:rPr>
        <w:t>1</w:t>
      </w:r>
      <w:r>
        <w:rPr>
          <w:noProof/>
        </w:rPr>
        <w:fldChar w:fldCharType="end"/>
      </w:r>
      <w:bookmarkEnd w:id="2"/>
      <w:r>
        <w:t>: Broad Money (M4) relative to GDP at market prices (1980 to 2018)</w:t>
      </w:r>
      <w:r>
        <w:rPr>
          <w:rStyle w:val="EndnoteReference"/>
        </w:rPr>
        <w:endnoteReference w:id="1"/>
      </w:r>
    </w:p>
    <w:p w14:paraId="154EF5D3" w14:textId="35A78A1D" w:rsidR="00A3477A" w:rsidRDefault="00A3477A" w:rsidP="00A3477A">
      <w:r w:rsidRPr="0045544D">
        <w:rPr>
          <w:noProof/>
          <w:lang w:eastAsia="ja-JP"/>
        </w:rPr>
        <w:drawing>
          <wp:inline distT="0" distB="0" distL="0" distR="0" wp14:anchorId="738EC169" wp14:editId="4C92C54A">
            <wp:extent cx="5439410" cy="2503805"/>
            <wp:effectExtent l="0" t="0" r="8890" b="10795"/>
            <wp:docPr id="18" name="Chart 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11396471" w14:textId="6513D40D" w:rsidR="00A3477A" w:rsidRDefault="00A3477A" w:rsidP="008665C0">
      <w:pPr>
        <w:pStyle w:val="Heading2"/>
        <w:numPr>
          <w:ilvl w:val="0"/>
          <w:numId w:val="1"/>
        </w:numPr>
      </w:pPr>
      <w:bookmarkStart w:id="3" w:name="_Toc22647353"/>
      <w:r>
        <w:lastRenderedPageBreak/>
        <w:t>Credit money creation by banks and building societies</w:t>
      </w:r>
      <w:bookmarkEnd w:id="3"/>
    </w:p>
    <w:p w14:paraId="61CEECC9" w14:textId="263D93D2" w:rsidR="00A3477A" w:rsidRDefault="00A3477A" w:rsidP="00A3477A">
      <w:r>
        <w:t xml:space="preserve">My previous paper </w:t>
      </w:r>
      <w:r>
        <w:rPr>
          <w:noProof/>
        </w:rPr>
        <w:t>(Starkey, 2018)</w:t>
      </w:r>
      <w:r>
        <w:t xml:space="preserve"> explained how banks create credit money, and that the majority of money in the economy (sterling M4 liabilities to the private sector) comprises bank deposits (please see </w:t>
      </w:r>
      <w:r>
        <w:fldChar w:fldCharType="begin"/>
      </w:r>
      <w:r>
        <w:instrText xml:space="preserve"> REF _Ref521688237 \h </w:instrText>
      </w:r>
      <w:r>
        <w:fldChar w:fldCharType="separate"/>
      </w:r>
      <w:r w:rsidR="0001730D">
        <w:t xml:space="preserve">Figure </w:t>
      </w:r>
      <w:r w:rsidR="0001730D">
        <w:rPr>
          <w:noProof/>
        </w:rPr>
        <w:t>2</w:t>
      </w:r>
      <w:r>
        <w:fldChar w:fldCharType="end"/>
      </w:r>
      <w:r>
        <w:t>). The credit creation theory of banking proposes that individual banks can create money, and banks do not solely lend out deposits that have been provided to the bank. Instead, the bank creates bank deposits as a consequence of bank lending</w:t>
      </w:r>
      <w:r>
        <w:rPr>
          <w:noProof/>
        </w:rPr>
        <w:t xml:space="preserve"> (McLeay, Radia, &amp; Thomas, 2014 ; Werner R. A., 2013; Ryan-Collins, Greenham, Werner, &amp; Jackson, 2011)</w:t>
      </w:r>
      <w:r>
        <w:t xml:space="preserve">. Consequently, the amount of money that a bank can create is not constrained by their deposit taking activities. The repayment of existing debt destroys money, by reducing bank loans (asset side of balance sheet) and customer deposits (liability side of the bank balance sheet). </w:t>
      </w:r>
    </w:p>
    <w:p w14:paraId="235CB323" w14:textId="77777777" w:rsidR="00C9188A" w:rsidRDefault="00C9188A" w:rsidP="00A3477A"/>
    <w:p w14:paraId="5A5EBB87" w14:textId="77777777" w:rsidR="00A3477A" w:rsidRDefault="00A3477A" w:rsidP="00A3477A">
      <w:pPr>
        <w:pStyle w:val="Caption"/>
      </w:pPr>
      <w:bookmarkStart w:id="4" w:name="_Ref521688237"/>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4"/>
      <w:r>
        <w:t>: Bank deposits in relation to cash in circulation. The Composition of Sterling M4 Liabilities to the private sector, excluding intermediate other financial companies (OFCs)</w:t>
      </w:r>
      <w:r>
        <w:rPr>
          <w:rStyle w:val="EndnoteReference"/>
        </w:rPr>
        <w:endnoteReference w:id="2"/>
      </w:r>
    </w:p>
    <w:p w14:paraId="7F4D0215" w14:textId="14D8B868" w:rsidR="00A3477A" w:rsidRDefault="00A3477A" w:rsidP="00A3477A">
      <w:r>
        <w:rPr>
          <w:noProof/>
        </w:rPr>
        <mc:AlternateContent>
          <mc:Choice Requires="wps">
            <w:drawing>
              <wp:anchor distT="0" distB="0" distL="114300" distR="114300" simplePos="0" relativeHeight="251659264" behindDoc="0" locked="0" layoutInCell="1" allowOverlap="1" wp14:anchorId="18E36A5E" wp14:editId="0FDFB969">
                <wp:simplePos x="0" y="0"/>
                <wp:positionH relativeFrom="column">
                  <wp:posOffset>3838575</wp:posOffset>
                </wp:positionH>
                <wp:positionV relativeFrom="paragraph">
                  <wp:posOffset>902335</wp:posOffset>
                </wp:positionV>
                <wp:extent cx="1352550" cy="334010"/>
                <wp:effectExtent l="0" t="0" r="0" b="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52550" cy="334010"/>
                        </a:xfrm>
                        <a:prstGeom prst="rect">
                          <a:avLst/>
                        </a:prstGeom>
                        <a:noFill/>
                        <a:ln w="9525" cmpd="sng">
                          <a:noFill/>
                        </a:ln>
                        <a:effectLst/>
                      </wps:spPr>
                      <wps:txbx>
                        <w:txbxContent>
                          <w:p w14:paraId="56605BC8" w14:textId="77777777" w:rsidR="00A3477A" w:rsidRDefault="00A3477A" w:rsidP="00A3477A">
                            <w:pPr>
                              <w:pStyle w:val="NormalWeb"/>
                              <w:spacing w:before="0" w:beforeAutospacing="0" w:after="0" w:afterAutospacing="0"/>
                            </w:pPr>
                            <w:r w:rsidRPr="008E1714">
                              <w:rPr>
                                <w:rFonts w:ascii="Calibri" w:hAnsi="Calibri" w:cs="Arial"/>
                                <w:color w:val="000000"/>
                                <w:sz w:val="32"/>
                                <w:szCs w:val="32"/>
                              </w:rPr>
                              <w:t>Bank deposits</w:t>
                            </w:r>
                          </w:p>
                        </w:txbxContent>
                      </wps:txbx>
                      <wps:bodyPr vertOverflow="clip" horzOverflow="clip" wrap="square" rtlCol="0" anchor="t"/>
                    </wps:wsp>
                  </a:graphicData>
                </a:graphic>
                <wp14:sizeRelH relativeFrom="margin">
                  <wp14:pctWidth>0</wp14:pctWidth>
                </wp14:sizeRelH>
                <wp14:sizeRelV relativeFrom="margin">
                  <wp14:pctHeight>0</wp14:pctHeight>
                </wp14:sizeRelV>
              </wp:anchor>
            </w:drawing>
          </mc:Choice>
          <mc:Fallback>
            <w:pict>
              <v:shapetype w14:anchorId="18E36A5E" id="_x0000_t202" coordsize="21600,21600" o:spt="202" path="m,l,21600r21600,l21600,xe">
                <v:stroke joinstyle="miter"/>
                <v:path gradientshapeok="t" o:connecttype="rect"/>
              </v:shapetype>
              <v:shape id="Text Box 20" o:spid="_x0000_s1026" type="#_x0000_t202" style="position:absolute;left:0;text-align:left;margin-left:302.25pt;margin-top:71.05pt;width:106.5pt;height:2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" filled="f" stroked="f">
                <v:textbox>
                  <w:txbxContent>
                    <w:p w14:paraId="56605BC8" w14:textId="77777777" w:rsidR="00A3477A" w:rsidRDefault="00A3477A" w:rsidP="00A3477A">
                      <w:pPr>
                        <w:pStyle w:val="NormalWeb"/>
                        <w:spacing w:before="0" w:beforeAutospacing="0" w:after="0" w:afterAutospacing="0"/>
                      </w:pPr>
                      <w:r w:rsidRPr="008E1714">
                        <w:rPr>
                          <w:rFonts w:ascii="Calibri" w:hAnsi="Calibri" w:cs="Arial"/>
                          <w:color w:val="000000"/>
                          <w:sz w:val="32"/>
                          <w:szCs w:val="32"/>
                        </w:rPr>
                        <w:t>Bank deposits</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67744BD9" wp14:editId="2547BEEF">
                <wp:simplePos x="0" y="0"/>
                <wp:positionH relativeFrom="margin">
                  <wp:posOffset>3766185</wp:posOffset>
                </wp:positionH>
                <wp:positionV relativeFrom="paragraph">
                  <wp:posOffset>1359535</wp:posOffset>
                </wp:positionV>
                <wp:extent cx="1993900" cy="266700"/>
                <wp:effectExtent l="0" t="0" r="0" b="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93900" cy="266700"/>
                        </a:xfrm>
                        <a:prstGeom prst="rect">
                          <a:avLst/>
                        </a:prstGeom>
                        <a:noFill/>
                        <a:ln w="9525" cmpd="sng">
                          <a:noFill/>
                        </a:ln>
                        <a:effectLst/>
                      </wps:spPr>
                      <wps:txbx>
                        <w:txbxContent>
                          <w:p w14:paraId="2DF5BF37" w14:textId="77777777" w:rsidR="00A3477A" w:rsidRDefault="00A3477A" w:rsidP="00A3477A">
                            <w:pPr>
                              <w:pStyle w:val="NormalWeb"/>
                              <w:spacing w:before="0" w:beforeAutospacing="0" w:after="0" w:afterAutospacing="0"/>
                            </w:pPr>
                            <w:r w:rsidRPr="008E1714">
                              <w:rPr>
                                <w:rFonts w:ascii="Calibri" w:hAnsi="Calibri" w:cs="Arial"/>
                                <w:color w:val="000000"/>
                                <w:szCs w:val="22"/>
                              </w:rPr>
                              <w:t>Notes and coins in circulation</w:t>
                            </w:r>
                          </w:p>
                        </w:txbxContent>
                      </wps:txbx>
                      <wps:bodyPr vertOverflow="clip" horzOverflow="clip" wrap="square" rtlCol="0" anchor="t">
                        <a:noAutofit/>
                      </wps:bodyPr>
                    </wps:wsp>
                  </a:graphicData>
                </a:graphic>
                <wp14:sizeRelH relativeFrom="page">
                  <wp14:pctWidth>0</wp14:pctWidth>
                </wp14:sizeRelH>
                <wp14:sizeRelV relativeFrom="margin">
                  <wp14:pctHeight>0</wp14:pctHeight>
                </wp14:sizeRelV>
              </wp:anchor>
            </w:drawing>
          </mc:Choice>
          <mc:Fallback>
            <w:pict>
              <v:shape w14:anchorId="67744BD9" id="Text Box 19" o:spid="_x0000_s1027" type="#_x0000_t202" style="position:absolute;left:0;text-align:left;margin-left:296.55pt;margin-top:107.05pt;width:157pt;height:2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" filled="f" stroked="f">
                <v:textbox>
                  <w:txbxContent>
                    <w:p w14:paraId="2DF5BF37" w14:textId="77777777" w:rsidR="00A3477A" w:rsidRDefault="00A3477A" w:rsidP="00A3477A">
                      <w:pPr>
                        <w:pStyle w:val="NormalWeb"/>
                        <w:spacing w:before="0" w:beforeAutospacing="0" w:after="0" w:afterAutospacing="0"/>
                      </w:pPr>
                      <w:r w:rsidRPr="008E1714">
                        <w:rPr>
                          <w:rFonts w:ascii="Calibri" w:hAnsi="Calibri" w:cs="Arial"/>
                          <w:color w:val="000000"/>
                          <w:szCs w:val="22"/>
                        </w:rPr>
                        <w:t>Notes and coins in circulation</w:t>
                      </w:r>
                    </w:p>
                  </w:txbxContent>
                </v:textbox>
                <w10:wrap anchorx="margin"/>
              </v:shape>
            </w:pict>
          </mc:Fallback>
        </mc:AlternateContent>
      </w:r>
      <w:r w:rsidRPr="0045544D">
        <w:rPr>
          <w:noProof/>
          <w:lang w:eastAsia="ja-JP"/>
        </w:rPr>
        <w:drawing>
          <wp:inline distT="0" distB="0" distL="0" distR="0" wp14:anchorId="469EC378" wp14:editId="11FC4E56">
            <wp:extent cx="5715000" cy="3409315"/>
            <wp:effectExtent l="0" t="0" r="0" b="635"/>
            <wp:docPr id="17"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7E06C20" w14:textId="77777777" w:rsidR="00C9188A" w:rsidRDefault="00C9188A" w:rsidP="0001730D">
      <w:pPr>
        <w:spacing w:before="0" w:after="160" w:line="259" w:lineRule="auto"/>
        <w:jc w:val="left"/>
      </w:pPr>
    </w:p>
    <w:p w14:paraId="4855C9E1" w14:textId="11F89107" w:rsidR="00A3477A" w:rsidRDefault="00A3477A" w:rsidP="0001730D">
      <w:pPr>
        <w:spacing w:before="0" w:after="160" w:line="259" w:lineRule="auto"/>
        <w:jc w:val="left"/>
      </w:pPr>
      <w:r>
        <w:t>There was a significant increase in bank lending between 2000 and 2007, when the annual percentage increase in total lending by United Kingdom financial institutions exceeded 10% per annum (please see</w:t>
      </w:r>
      <w:r w:rsidR="0001730D">
        <w:t xml:space="preserve"> </w:t>
      </w:r>
      <w:r w:rsidR="0001730D">
        <w:fldChar w:fldCharType="begin"/>
      </w:r>
      <w:r w:rsidR="0001730D">
        <w:instrText xml:space="preserve"> REF _Ref22985089 \h </w:instrText>
      </w:r>
      <w:r w:rsidR="0001730D">
        <w:fldChar w:fldCharType="separate"/>
      </w:r>
      <w:r w:rsidR="0001730D">
        <w:t xml:space="preserve">Figure </w:t>
      </w:r>
      <w:r w:rsidR="0001730D">
        <w:rPr>
          <w:noProof/>
        </w:rPr>
        <w:t>3</w:t>
      </w:r>
      <w:r w:rsidR="0001730D">
        <w:fldChar w:fldCharType="end"/>
      </w:r>
      <w:r>
        <w:t xml:space="preserve">). Increased lending caused bank deposits to increase, creating new credit money that produced an annual increase in money supply of between 6% and 10% per annum between 2000 and 2007 (please see </w:t>
      </w:r>
      <w:r>
        <w:fldChar w:fldCharType="begin"/>
      </w:r>
      <w:r>
        <w:instrText xml:space="preserve"> REF _Ref521688376 \h </w:instrText>
      </w:r>
      <w:r>
        <w:fldChar w:fldCharType="separate"/>
      </w:r>
      <w:r>
        <w:t xml:space="preserve">figure </w:t>
      </w:r>
      <w:r>
        <w:rPr>
          <w:noProof/>
        </w:rPr>
        <w:t>4</w:t>
      </w:r>
      <w:r>
        <w:fldChar w:fldCharType="end"/>
      </w:r>
      <w:r>
        <w:t xml:space="preserve">). Commercial banks introduction of new credit money into the economy is creating new purchasing power within the economy that did not previously exist, which significantly increases demand in sectors of the economy to which the credit money is allocated. </w:t>
      </w:r>
    </w:p>
    <w:p w14:paraId="79B14A5E" w14:textId="77777777" w:rsidR="00837048" w:rsidRDefault="00837048" w:rsidP="00A3477A"/>
    <w:p w14:paraId="20469838" w14:textId="77777777" w:rsidR="00837048" w:rsidRDefault="00837048">
      <w:pPr>
        <w:spacing w:before="0" w:after="160" w:line="259" w:lineRule="auto"/>
        <w:jc w:val="left"/>
        <w:rPr>
          <w:b/>
          <w:sz w:val="20"/>
          <w:szCs w:val="20"/>
        </w:rPr>
      </w:pPr>
      <w:bookmarkStart w:id="5" w:name="_Ref521688305"/>
      <w:r>
        <w:br w:type="page"/>
      </w:r>
    </w:p>
    <w:p w14:paraId="1E2E8618" w14:textId="217F0098" w:rsidR="00A3477A" w:rsidRDefault="00A3477A" w:rsidP="00A3477A">
      <w:pPr>
        <w:pStyle w:val="Caption"/>
      </w:pPr>
      <w:bookmarkStart w:id="6" w:name="_Ref22985089"/>
      <w:r>
        <w:lastRenderedPageBreak/>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5"/>
      <w:bookmarkEnd w:id="6"/>
      <w:r>
        <w:t>: Annual percentage change in total lending by United Kingdom financial institutions (1999 to 2017)</w:t>
      </w:r>
      <w:r>
        <w:rPr>
          <w:rStyle w:val="EndnoteReference"/>
        </w:rPr>
        <w:endnoteReference w:id="3"/>
      </w:r>
    </w:p>
    <w:p w14:paraId="79DB19E3" w14:textId="7ECFF750" w:rsidR="00A3477A" w:rsidRDefault="00A3477A" w:rsidP="00A3477A">
      <w:r w:rsidRPr="0045544D">
        <w:rPr>
          <w:noProof/>
          <w:lang w:eastAsia="ja-JP"/>
        </w:rPr>
        <w:drawing>
          <wp:inline distT="0" distB="0" distL="0" distR="0" wp14:anchorId="53BDA2D7" wp14:editId="24056A69">
            <wp:extent cx="5695315" cy="3522345"/>
            <wp:effectExtent l="0" t="0" r="635" b="1905"/>
            <wp:docPr id="16" name="Chart 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657D0B21" w14:textId="77777777" w:rsidR="00A3477A" w:rsidRDefault="00A3477A" w:rsidP="00A3477A">
      <w:pPr>
        <w:pStyle w:val="Caption"/>
      </w:pPr>
      <w:bookmarkStart w:id="8" w:name="_Ref521688376"/>
      <w:r>
        <w:t xml:space="preserve">Figure </w:t>
      </w:r>
      <w:r>
        <w:rPr>
          <w:noProof/>
        </w:rPr>
        <w:fldChar w:fldCharType="begin"/>
      </w:r>
      <w:r>
        <w:rPr>
          <w:noProof/>
        </w:rPr>
        <w:instrText xml:space="preserve"> SEQ Figure \* ARABIC </w:instrText>
      </w:r>
      <w:r>
        <w:rPr>
          <w:noProof/>
        </w:rPr>
        <w:fldChar w:fldCharType="separate"/>
      </w:r>
      <w:r>
        <w:rPr>
          <w:noProof/>
        </w:rPr>
        <w:t>4</w:t>
      </w:r>
      <w:r>
        <w:rPr>
          <w:noProof/>
        </w:rPr>
        <w:fldChar w:fldCharType="end"/>
      </w:r>
      <w:bookmarkEnd w:id="8"/>
      <w:r>
        <w:t>: Growth in bank deposits during the year as a percentage of money supply at the beginning of the year (1998 to 2017)</w:t>
      </w:r>
      <w:r>
        <w:rPr>
          <w:rStyle w:val="EndnoteReference"/>
        </w:rPr>
        <w:endnoteReference w:id="4"/>
      </w:r>
    </w:p>
    <w:p w14:paraId="0920DFF6" w14:textId="4D6A3612" w:rsidR="00A3477A" w:rsidRDefault="00A3477A" w:rsidP="00A3477A">
      <w:pPr>
        <w:rPr>
          <w:noProof/>
          <w:lang w:eastAsia="ja-JP"/>
        </w:rPr>
      </w:pPr>
      <w:r w:rsidRPr="0045544D">
        <w:rPr>
          <w:noProof/>
          <w:lang w:eastAsia="ja-JP"/>
        </w:rPr>
        <w:drawing>
          <wp:inline distT="0" distB="0" distL="0" distR="0" wp14:anchorId="2D1D008D" wp14:editId="0523E739">
            <wp:extent cx="5738495" cy="3104515"/>
            <wp:effectExtent l="0" t="0" r="14605" b="635"/>
            <wp:docPr id="15" name="Chart 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D3C9438" w14:textId="4F4A5D62" w:rsidR="00837048" w:rsidRDefault="00837048">
      <w:pPr>
        <w:spacing w:before="0" w:after="160" w:line="259" w:lineRule="auto"/>
        <w:jc w:val="left"/>
      </w:pPr>
      <w:r>
        <w:br w:type="page"/>
      </w:r>
    </w:p>
    <w:p w14:paraId="280EF67F" w14:textId="5126E0B6" w:rsidR="00A3477A" w:rsidRDefault="00A3477A" w:rsidP="008665C0">
      <w:pPr>
        <w:pStyle w:val="Heading2"/>
        <w:numPr>
          <w:ilvl w:val="0"/>
          <w:numId w:val="1"/>
        </w:numPr>
      </w:pPr>
      <w:bookmarkStart w:id="9" w:name="_Toc22647354"/>
      <w:r w:rsidRPr="00C568ED">
        <w:lastRenderedPageBreak/>
        <w:t>The Quantity Theory of Credit</w:t>
      </w:r>
      <w:bookmarkEnd w:id="9"/>
    </w:p>
    <w:p w14:paraId="61132AEB" w14:textId="252BBF46" w:rsidR="00A3477A" w:rsidRDefault="00A3477A" w:rsidP="00A3477A">
      <w:r w:rsidRPr="00466150">
        <w:t xml:space="preserve">When money supply increases </w:t>
      </w:r>
      <w:r>
        <w:t>as</w:t>
      </w:r>
      <w:r w:rsidRPr="00466150">
        <w:t xml:space="preserve"> a consequence of new credit money creation by banks exceeds the growth of </w:t>
      </w:r>
      <w:r>
        <w:t xml:space="preserve">GDP </w:t>
      </w:r>
      <w:r w:rsidRPr="00466150">
        <w:t xml:space="preserve">(growth in gross domestic product) </w:t>
      </w:r>
      <w:r>
        <w:t>transactions</w:t>
      </w:r>
      <w:r w:rsidRPr="00466150">
        <w:t xml:space="preserve"> in the economy</w:t>
      </w:r>
      <w:r>
        <w:t>,</w:t>
      </w:r>
      <w:r w:rsidRPr="00466150">
        <w:t xml:space="preserve"> there are likely to be inflationary consequences.</w:t>
      </w:r>
      <w:r>
        <w:t xml:space="preserve"> However, the consequences of credit money creation depend on the sector to which credit money is allocated.</w:t>
      </w:r>
    </w:p>
    <w:p w14:paraId="3860A558" w14:textId="2F57912C" w:rsidR="00E41C99" w:rsidRDefault="00A3477A" w:rsidP="00A3477A">
      <w:r>
        <w:t xml:space="preserve">The </w:t>
      </w:r>
      <w:r w:rsidRPr="00AE06AA">
        <w:rPr>
          <w:b/>
        </w:rPr>
        <w:t>Quantity Theory of Credit</w:t>
      </w:r>
      <w:r>
        <w:t xml:space="preserve"> presented by Richard Werner </w:t>
      </w:r>
      <w:r>
        <w:rPr>
          <w:noProof/>
        </w:rPr>
        <w:t>(Werner R. A., 1997; Werner R. A., 2013; Ryan-Collins, Greenham, Werner, &amp; Jackson, 2011, pp. 109 - 110; Werner R. A., 2005, p. 226)</w:t>
      </w:r>
      <w:r>
        <w:t xml:space="preserve"> proposes that t</w:t>
      </w:r>
      <w:r w:rsidRPr="00D35F3E">
        <w:t xml:space="preserve">he impact of </w:t>
      </w:r>
      <w:r w:rsidRPr="0058233A">
        <w:rPr>
          <w:b/>
        </w:rPr>
        <w:t>bank lending for GDP transactions</w:t>
      </w:r>
      <w:r w:rsidRPr="00D35F3E">
        <w:t xml:space="preserve"> will depend on the </w:t>
      </w:r>
      <w:r>
        <w:t>sector to which bank</w:t>
      </w:r>
      <w:r w:rsidRPr="00D35F3E">
        <w:t xml:space="preserve"> lending</w:t>
      </w:r>
      <w:r>
        <w:t xml:space="preserve"> is allocated</w:t>
      </w:r>
      <w:r w:rsidRPr="00D35F3E">
        <w:t xml:space="preserve">. </w:t>
      </w:r>
    </w:p>
    <w:p w14:paraId="37626FD5" w14:textId="59228DCA" w:rsidR="00A3477A" w:rsidRDefault="00E41C99" w:rsidP="00A3477A">
      <w:r>
        <w:rPr>
          <w:b/>
        </w:rPr>
        <w:t>B</w:t>
      </w:r>
      <w:r w:rsidR="00A3477A" w:rsidRPr="0058233A">
        <w:rPr>
          <w:b/>
        </w:rPr>
        <w:t>ank lending for business investment to private non-financial corporations and unincorporated businesses encourages growth in economic activity</w:t>
      </w:r>
      <w:r w:rsidR="00A3477A">
        <w:t xml:space="preserve">. Investment that increases output of goods and services included in GDP transactions </w:t>
      </w:r>
      <w:r w:rsidR="00A3477A" w:rsidRPr="0058233A">
        <w:rPr>
          <w:b/>
        </w:rPr>
        <w:t>suppresses inflationary pressures</w:t>
      </w:r>
      <w:r w:rsidR="00A3477A">
        <w:t xml:space="preserve"> in the economy, as a consequence of increased production of goods and services, and also raises the incomes of factors of production. However, only </w:t>
      </w:r>
      <w:r w:rsidR="00A3477A" w:rsidRPr="0058233A">
        <w:rPr>
          <w:b/>
        </w:rPr>
        <w:t>15.5% of lending</w:t>
      </w:r>
      <w:r w:rsidR="00A3477A">
        <w:t xml:space="preserve"> by financial institutions is being </w:t>
      </w:r>
      <w:r w:rsidR="00A3477A" w:rsidRPr="0058233A">
        <w:rPr>
          <w:b/>
        </w:rPr>
        <w:t>directed towards investment by non-financial firms and unincorporated businesses</w:t>
      </w:r>
      <w:r w:rsidR="00A3477A">
        <w:t xml:space="preserve"> (please see </w:t>
      </w:r>
      <w:r w:rsidR="00A3477A">
        <w:fldChar w:fldCharType="begin"/>
      </w:r>
      <w:r w:rsidR="00A3477A">
        <w:instrText xml:space="preserve"> REF _Ref521688439 \h </w:instrText>
      </w:r>
      <w:r w:rsidR="00A3477A">
        <w:fldChar w:fldCharType="separate"/>
      </w:r>
      <w:r w:rsidR="00A3477A">
        <w:t xml:space="preserve">figure </w:t>
      </w:r>
      <w:r w:rsidR="00A3477A">
        <w:rPr>
          <w:noProof/>
        </w:rPr>
        <w:t>5</w:t>
      </w:r>
      <w:r w:rsidR="00A3477A">
        <w:fldChar w:fldCharType="end"/>
      </w:r>
      <w:r w:rsidR="00A3477A">
        <w:t>).</w:t>
      </w:r>
    </w:p>
    <w:p w14:paraId="56691EE3" w14:textId="77777777" w:rsidR="00A3477A" w:rsidRDefault="00A3477A" w:rsidP="00A3477A">
      <w:pPr>
        <w:pStyle w:val="Caption"/>
      </w:pPr>
      <w:bookmarkStart w:id="10" w:name="_Ref521688439"/>
      <w:bookmarkStart w:id="11" w:name="_Ref22979620"/>
      <w:r>
        <w:t xml:space="preserve">Figure </w:t>
      </w:r>
      <w:r>
        <w:rPr>
          <w:noProof/>
        </w:rPr>
        <w:fldChar w:fldCharType="begin"/>
      </w:r>
      <w:r>
        <w:rPr>
          <w:noProof/>
        </w:rPr>
        <w:instrText xml:space="preserve"> SEQ Figure \* ARABIC </w:instrText>
      </w:r>
      <w:r>
        <w:rPr>
          <w:noProof/>
        </w:rPr>
        <w:fldChar w:fldCharType="separate"/>
      </w:r>
      <w:r>
        <w:rPr>
          <w:noProof/>
        </w:rPr>
        <w:t>5</w:t>
      </w:r>
      <w:r>
        <w:rPr>
          <w:noProof/>
        </w:rPr>
        <w:fldChar w:fldCharType="end"/>
      </w:r>
      <w:bookmarkEnd w:id="10"/>
      <w:r>
        <w:t>: Allocation of lending by financial institutions to sectors of the economy in June 2018</w:t>
      </w:r>
      <w:r>
        <w:rPr>
          <w:rStyle w:val="EndnoteReference"/>
        </w:rPr>
        <w:endnoteReference w:id="5"/>
      </w:r>
      <w:bookmarkEnd w:id="11"/>
    </w:p>
    <w:p w14:paraId="19D2C282" w14:textId="3FC11340" w:rsidR="00A3477A" w:rsidRDefault="00A3477A" w:rsidP="00A3477A">
      <w:r w:rsidRPr="0045544D">
        <w:rPr>
          <w:noProof/>
          <w:lang w:eastAsia="ja-JP"/>
        </w:rPr>
        <w:drawing>
          <wp:inline distT="0" distB="0" distL="0" distR="0" wp14:anchorId="4CAAF105" wp14:editId="73F95865">
            <wp:extent cx="5732145" cy="3576955"/>
            <wp:effectExtent l="0" t="0" r="1905" b="4445"/>
            <wp:docPr id="14" name="Char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352082F" w14:textId="77777777" w:rsidR="00410182" w:rsidRDefault="00410182">
      <w:pPr>
        <w:spacing w:before="0" w:after="160" w:line="259" w:lineRule="auto"/>
        <w:jc w:val="left"/>
        <w:rPr>
          <w:b/>
          <w:sz w:val="20"/>
          <w:szCs w:val="20"/>
        </w:rPr>
      </w:pPr>
      <w:bookmarkStart w:id="12" w:name="_Ref521689284"/>
      <w:r>
        <w:br w:type="page"/>
      </w:r>
    </w:p>
    <w:p w14:paraId="457CB91D" w14:textId="0BB48711" w:rsidR="00A3477A" w:rsidRDefault="00A3477A" w:rsidP="00A3477A">
      <w:pPr>
        <w:pStyle w:val="Caption"/>
      </w:pPr>
      <w:bookmarkStart w:id="13" w:name="_Ref22985936"/>
      <w:r>
        <w:lastRenderedPageBreak/>
        <w:t xml:space="preserve">Figure </w:t>
      </w:r>
      <w:r>
        <w:rPr>
          <w:noProof/>
        </w:rPr>
        <w:fldChar w:fldCharType="begin"/>
      </w:r>
      <w:r>
        <w:rPr>
          <w:noProof/>
        </w:rPr>
        <w:instrText xml:space="preserve"> SEQ Figure \* ARABIC </w:instrText>
      </w:r>
      <w:r>
        <w:rPr>
          <w:noProof/>
        </w:rPr>
        <w:fldChar w:fldCharType="separate"/>
      </w:r>
      <w:r w:rsidR="0001730D">
        <w:rPr>
          <w:noProof/>
        </w:rPr>
        <w:t>6</w:t>
      </w:r>
      <w:r>
        <w:rPr>
          <w:noProof/>
        </w:rPr>
        <w:fldChar w:fldCharType="end"/>
      </w:r>
      <w:bookmarkEnd w:id="12"/>
      <w:bookmarkEnd w:id="13"/>
      <w:r>
        <w:t>: Net lending by all financial institutions by lending category, and relative to GDP (£billion)</w:t>
      </w:r>
      <w:r>
        <w:rPr>
          <w:rStyle w:val="EndnoteReference"/>
        </w:rPr>
        <w:endnoteReference w:id="6"/>
      </w:r>
    </w:p>
    <w:p w14:paraId="5CD656BD" w14:textId="386B87EC" w:rsidR="00A3477A" w:rsidRDefault="00A3477A" w:rsidP="00A3477A">
      <w:r w:rsidRPr="0045544D">
        <w:rPr>
          <w:noProof/>
          <w:lang w:eastAsia="ja-JP"/>
        </w:rPr>
        <w:drawing>
          <wp:inline distT="0" distB="0" distL="0" distR="0" wp14:anchorId="54ED37D0" wp14:editId="558A5F01">
            <wp:extent cx="5732145" cy="4617085"/>
            <wp:effectExtent l="0" t="0" r="1905" b="12065"/>
            <wp:docPr id="13" name="Chart 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25CA7C42" w14:textId="4827ACCE" w:rsidR="00A3477A" w:rsidRDefault="00A3477A" w:rsidP="0001730D">
      <w:pPr>
        <w:spacing w:before="0" w:after="160" w:line="259" w:lineRule="auto"/>
        <w:jc w:val="left"/>
      </w:pPr>
      <w:r w:rsidRPr="00AB2013">
        <w:t xml:space="preserve">Despite an increase in overall lending by financial institutions following the 2007 financial crisis, it is apparent that there was a substantial reduction in financial institutions lending to sectors of the economy that increase </w:t>
      </w:r>
      <w:r>
        <w:t xml:space="preserve">value added from </w:t>
      </w:r>
      <w:r w:rsidRPr="00AB2013">
        <w:t xml:space="preserve">production </w:t>
      </w:r>
      <w:r>
        <w:t>of new goods and services, which increase gross domestic product and</w:t>
      </w:r>
      <w:r w:rsidRPr="00AB2013">
        <w:t xml:space="preserve"> real incomes within the economy.  Lending to both non-financial corporations and unincorporated business has fallen significantly following the 2007 financial crisis.</w:t>
      </w:r>
      <w:r>
        <w:t xml:space="preserve"> Financial institutions lending to non-financial corporations has fallen 21% since 2008 (from £515 billion to £405 billion), whilst lending to unincorporated businesses has fallen by 41% since 2008 (from £48 billion to £28 billion) (please see</w:t>
      </w:r>
      <w:r w:rsidR="0001730D">
        <w:t xml:space="preserve"> </w:t>
      </w:r>
      <w:r w:rsidR="0001730D">
        <w:fldChar w:fldCharType="begin"/>
      </w:r>
      <w:r w:rsidR="0001730D">
        <w:instrText xml:space="preserve"> REF _Ref22985226 \h </w:instrText>
      </w:r>
      <w:r w:rsidR="0001730D">
        <w:fldChar w:fldCharType="separate"/>
      </w:r>
      <w:r w:rsidR="0001730D">
        <w:t xml:space="preserve">Figure </w:t>
      </w:r>
      <w:r w:rsidR="0001730D">
        <w:rPr>
          <w:noProof/>
        </w:rPr>
        <w:t>7</w:t>
      </w:r>
      <w:r w:rsidR="0001730D">
        <w:fldChar w:fldCharType="end"/>
      </w:r>
      <w:r>
        <w:t>). This could be an important contributory factor to weak labour productivity growth following the 2007 / 2008 financial crisis, because investment in physical capital stock per worker is an important factor in determining labour productivity</w:t>
      </w:r>
      <w:r>
        <w:rPr>
          <w:noProof/>
        </w:rPr>
        <w:t xml:space="preserve"> </w:t>
      </w:r>
      <w:r>
        <w:t xml:space="preserve">growth </w:t>
      </w:r>
      <w:r>
        <w:rPr>
          <w:noProof/>
        </w:rPr>
        <w:t>(Barnett, Batten, Chu, Franklin, &amp; Sebastiá-Barriel, 2014, p. 122)</w:t>
      </w:r>
      <w:r>
        <w:t xml:space="preserve">. </w:t>
      </w:r>
    </w:p>
    <w:p w14:paraId="4844B74F" w14:textId="77777777" w:rsidR="00642060" w:rsidRDefault="00642060">
      <w:pPr>
        <w:spacing w:before="0" w:after="160" w:line="259" w:lineRule="auto"/>
        <w:jc w:val="left"/>
        <w:rPr>
          <w:b/>
          <w:sz w:val="20"/>
          <w:szCs w:val="20"/>
        </w:rPr>
      </w:pPr>
      <w:bookmarkStart w:id="14" w:name="_Ref521688091"/>
      <w:bookmarkStart w:id="15" w:name="_Ref22985226"/>
      <w:r>
        <w:br w:type="page"/>
      </w:r>
    </w:p>
    <w:p w14:paraId="640DC385" w14:textId="596D117C" w:rsidR="00A3477A" w:rsidRDefault="00A3477A" w:rsidP="00A3477A">
      <w:pPr>
        <w:pStyle w:val="Caption"/>
      </w:pPr>
      <w:r>
        <w:lastRenderedPageBreak/>
        <w:t xml:space="preserve">Figure </w:t>
      </w:r>
      <w:r>
        <w:rPr>
          <w:noProof/>
        </w:rPr>
        <w:fldChar w:fldCharType="begin"/>
      </w:r>
      <w:r>
        <w:rPr>
          <w:noProof/>
        </w:rPr>
        <w:instrText xml:space="preserve"> SEQ Figure \* ARABIC </w:instrText>
      </w:r>
      <w:r>
        <w:rPr>
          <w:noProof/>
        </w:rPr>
        <w:fldChar w:fldCharType="separate"/>
      </w:r>
      <w:r w:rsidR="0001730D">
        <w:rPr>
          <w:noProof/>
        </w:rPr>
        <w:t>7</w:t>
      </w:r>
      <w:r>
        <w:rPr>
          <w:noProof/>
        </w:rPr>
        <w:fldChar w:fldCharType="end"/>
      </w:r>
      <w:bookmarkEnd w:id="14"/>
      <w:bookmarkEnd w:id="15"/>
      <w:r>
        <w:t>: Financial institutions lending to private non-financial corporations and unincorporated businesses following the 2007 - 2008 financial crisis</w:t>
      </w:r>
      <w:r>
        <w:rPr>
          <w:rStyle w:val="EndnoteReference"/>
        </w:rPr>
        <w:endnoteReference w:id="7"/>
      </w:r>
    </w:p>
    <w:p w14:paraId="7F12B375" w14:textId="65E96841" w:rsidR="00A3477A" w:rsidRDefault="00A3477A" w:rsidP="00A3477A">
      <w:r w:rsidRPr="0045544D">
        <w:rPr>
          <w:noProof/>
          <w:lang w:eastAsia="ja-JP"/>
        </w:rPr>
        <w:drawing>
          <wp:inline distT="0" distB="0" distL="0" distR="0" wp14:anchorId="2B830F17" wp14:editId="3AC9AC72">
            <wp:extent cx="5732145" cy="4197350"/>
            <wp:effectExtent l="0" t="0" r="1905" b="12700"/>
            <wp:docPr id="12" name="Chart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t xml:space="preserve">  </w:t>
      </w:r>
    </w:p>
    <w:p w14:paraId="67F5BD53" w14:textId="0687EAF0" w:rsidR="00642060" w:rsidRDefault="00642060" w:rsidP="00642060">
      <w:r>
        <w:t xml:space="preserve">If lending </w:t>
      </w:r>
      <w:r w:rsidR="006F1809">
        <w:t xml:space="preserve">for GDP transactions </w:t>
      </w:r>
      <w:r>
        <w:t xml:space="preserve">is directed towards </w:t>
      </w:r>
      <w:r w:rsidRPr="0058233A">
        <w:rPr>
          <w:b/>
        </w:rPr>
        <w:t>consumer credit</w:t>
      </w:r>
      <w:r>
        <w:t xml:space="preserve"> that increase consumption, there is likely to be an </w:t>
      </w:r>
      <w:r w:rsidRPr="0058233A">
        <w:rPr>
          <w:b/>
        </w:rPr>
        <w:t>increase in consumer price inflation</w:t>
      </w:r>
      <w:r>
        <w:t xml:space="preserve"> as a consequence of increasing aggregate demand relative to the aggregate supply of products. An increase in consumer credit </w:t>
      </w:r>
      <w:r w:rsidRPr="00642060">
        <w:t xml:space="preserve">promotes increased </w:t>
      </w:r>
      <w:r>
        <w:t>consumer demand</w:t>
      </w:r>
      <w:r w:rsidRPr="00642060">
        <w:t xml:space="preserve"> in the short-term. However, debt brings forward future consumption into the current period, which acts to constrain the growth of consumer expenditure in future years.</w:t>
      </w:r>
      <w:r>
        <w:t xml:space="preserve"> </w:t>
      </w:r>
    </w:p>
    <w:p w14:paraId="12A809CA" w14:textId="492535D5" w:rsidR="00410182" w:rsidRDefault="00A3477A" w:rsidP="00A3477A">
      <w:r>
        <w:t xml:space="preserve">The </w:t>
      </w:r>
      <w:r w:rsidRPr="00B17FBF">
        <w:rPr>
          <w:b/>
        </w:rPr>
        <w:t>Quantity Theory of Credit</w:t>
      </w:r>
      <w:r>
        <w:t xml:space="preserve"> proposes that </w:t>
      </w:r>
      <w:r w:rsidRPr="006470A9">
        <w:rPr>
          <w:b/>
        </w:rPr>
        <w:t>increasing the allocation of credit money for non-GDP transactions</w:t>
      </w:r>
      <w:r>
        <w:t xml:space="preserve"> (transactions that do not increase GDP (gross domestic product)) will have </w:t>
      </w:r>
      <w:r w:rsidRPr="006470A9">
        <w:rPr>
          <w:b/>
        </w:rPr>
        <w:t>no impact on economic growth</w:t>
      </w:r>
      <w:r>
        <w:t xml:space="preserve">, and will instead </w:t>
      </w:r>
      <w:r w:rsidRPr="006470A9">
        <w:rPr>
          <w:b/>
        </w:rPr>
        <w:t>promote asset price inflation</w:t>
      </w:r>
      <w:r>
        <w:rPr>
          <w:noProof/>
        </w:rPr>
        <w:t xml:space="preserve"> (Lyonnet &amp; Werner, 2012, p. 95; Werner R. A., 2005)</w:t>
      </w:r>
      <w:r>
        <w:t xml:space="preserve">. </w:t>
      </w:r>
      <w:r w:rsidR="00410182">
        <w:t>C</w:t>
      </w:r>
      <w:r w:rsidR="00410182" w:rsidRPr="00BA53EE">
        <w:t xml:space="preserve">redit growth for non-GDP transactions must be increasing, if </w:t>
      </w:r>
      <w:r w:rsidR="00410182">
        <w:t xml:space="preserve">total </w:t>
      </w:r>
      <w:r w:rsidR="00410182" w:rsidRPr="00BA53EE">
        <w:t>credit growth exceeds GDP growth</w:t>
      </w:r>
      <w:r w:rsidR="00410182">
        <w:rPr>
          <w:noProof/>
        </w:rPr>
        <w:t xml:space="preserve"> (Werner R. A., 2013, p. 366)</w:t>
      </w:r>
      <w:r w:rsidR="00410182" w:rsidRPr="00BA53EE">
        <w:t xml:space="preserve">. </w:t>
      </w:r>
      <w:r w:rsidRPr="0024581D">
        <w:t xml:space="preserve">When lending for non-GDP transactions grows faster than the growth in GDP transactions </w:t>
      </w:r>
      <w:r>
        <w:t>it can produce asset price bubbles that create the potential for a future financial crisis</w:t>
      </w:r>
      <w:r w:rsidRPr="0024581D">
        <w:t>.</w:t>
      </w:r>
      <w:r>
        <w:t xml:space="preserve"> </w:t>
      </w:r>
    </w:p>
    <w:p w14:paraId="0B7B9029" w14:textId="4FFB7B43" w:rsidR="00A3477A" w:rsidRDefault="00A3477A" w:rsidP="00A3477A">
      <w:r>
        <w:t xml:space="preserve">Non-GDP transactions are associated with the purchase of existing financial (for example, bonds, shares, and derivatives) and property assets that are sold in secondary markets. Secondary markets transact products previously sold within markets, such as previously issued financial assets (for example, company shares, bonds, and derivatives), and the transfer of ownership of property that has previously been purchased. Whilst primary markets trade newly created financial assets (for example, initial placing of shares by companies, rights issues of shares, and newly issued bonds), and the sale of new properties. The majority of financial and property assets are being resold, and so are traded within secondary markets. </w:t>
      </w:r>
      <w:r w:rsidR="0077607D">
        <w:t>Gross domestic product only includes transactions in newly created assets, and so an increase in money supply directed towards purchasing assets within secondary markets will cause a reduction in the money supply’s velocity of circulation</w:t>
      </w:r>
      <w:r w:rsidR="0077607D">
        <w:rPr>
          <w:noProof/>
        </w:rPr>
        <w:t xml:space="preserve"> (Werner R. , 2012; Lyonnet &amp; </w:t>
      </w:r>
      <w:r w:rsidR="0077607D">
        <w:rPr>
          <w:noProof/>
        </w:rPr>
        <w:lastRenderedPageBreak/>
        <w:t>Werner, 2012, p. 95)</w:t>
      </w:r>
      <w:r w:rsidR="0077607D">
        <w:t>. A substantial allocation of credit money creation for purchasing property and financial assets within secondary markets c</w:t>
      </w:r>
      <w:r w:rsidR="00410182">
        <w:t>reated</w:t>
      </w:r>
      <w:r w:rsidR="0077607D">
        <w:t xml:space="preserve"> significant asset price inflation.</w:t>
      </w:r>
    </w:p>
    <w:p w14:paraId="5A322EFC" w14:textId="77777777" w:rsidR="0077607D" w:rsidRDefault="00A3477A" w:rsidP="00A3477A">
      <w:r>
        <w:t xml:space="preserve">Lending in the United Kingdom is primarily directed towards the purchase of existing property and financial assets (please see </w:t>
      </w:r>
      <w:r>
        <w:fldChar w:fldCharType="begin"/>
      </w:r>
      <w:r>
        <w:instrText xml:space="preserve"> REF _Ref521688439 \h </w:instrText>
      </w:r>
      <w:r>
        <w:fldChar w:fldCharType="separate"/>
      </w:r>
      <w:r>
        <w:t xml:space="preserve">Figure </w:t>
      </w:r>
      <w:r>
        <w:rPr>
          <w:noProof/>
        </w:rPr>
        <w:t>5</w:t>
      </w:r>
      <w:r>
        <w:fldChar w:fldCharType="end"/>
      </w:r>
      <w:r>
        <w:t xml:space="preserve">), which encouraged rapid growth in property and share prices, because increased purchasing power was directed towards the purchase of already existing assets that are relatively fixed in supply. </w:t>
      </w:r>
    </w:p>
    <w:p w14:paraId="1E5623BA" w14:textId="5D400B3D" w:rsidR="00A3477A" w:rsidRDefault="00A3477A" w:rsidP="00A3477A">
      <w:r>
        <w:t xml:space="preserve">During the period 1999 to 2007 the average United Kingdom house price increased by 140% from £93,000 in 1999 to </w:t>
      </w:r>
      <w:bookmarkStart w:id="16" w:name="_Hlk520987794"/>
      <w:r>
        <w:t>£223,000 in 2007</w:t>
      </w:r>
      <w:bookmarkEnd w:id="16"/>
      <w:r>
        <w:t xml:space="preserve"> (please see</w:t>
      </w:r>
      <w:r w:rsidR="0001730D">
        <w:t xml:space="preserve"> </w:t>
      </w:r>
      <w:r w:rsidR="0001730D">
        <w:fldChar w:fldCharType="begin"/>
      </w:r>
      <w:r w:rsidR="0001730D">
        <w:instrText xml:space="preserve"> REF _Ref521688154 \h </w:instrText>
      </w:r>
      <w:r w:rsidR="0001730D">
        <w:fldChar w:fldCharType="separate"/>
      </w:r>
      <w:r w:rsidR="0001730D">
        <w:t xml:space="preserve">Figure </w:t>
      </w:r>
      <w:r w:rsidR="0001730D">
        <w:rPr>
          <w:noProof/>
        </w:rPr>
        <w:t>8</w:t>
      </w:r>
      <w:r w:rsidR="0001730D">
        <w:fldChar w:fldCharType="end"/>
      </w:r>
      <w:r>
        <w:t xml:space="preserve">).  </w:t>
      </w:r>
      <w:r w:rsidR="0001730D">
        <w:fldChar w:fldCharType="begin"/>
      </w:r>
      <w:r w:rsidR="0001730D">
        <w:instrText xml:space="preserve"> REF _Ref22985504 \h </w:instrText>
      </w:r>
      <w:r w:rsidR="0001730D">
        <w:fldChar w:fldCharType="separate"/>
      </w:r>
      <w:r w:rsidR="0001730D">
        <w:t xml:space="preserve">Figure </w:t>
      </w:r>
      <w:r w:rsidR="0001730D">
        <w:rPr>
          <w:noProof/>
        </w:rPr>
        <w:t>11</w:t>
      </w:r>
      <w:r w:rsidR="0001730D">
        <w:fldChar w:fldCharType="end"/>
      </w:r>
      <w:r w:rsidR="0001730D">
        <w:t xml:space="preserve"> </w:t>
      </w:r>
      <w:r w:rsidRPr="00DE1331">
        <w:t>indicates that the growth in lending by financial institutions for purchasing property is an important determinant of house price growth, with a Pearson correlation coefficient between these two variables being 0.7</w:t>
      </w:r>
      <w:r>
        <w:t>5</w:t>
      </w:r>
      <w:r>
        <w:rPr>
          <w:rStyle w:val="EndnoteReference"/>
        </w:rPr>
        <w:endnoteReference w:id="8"/>
      </w:r>
      <w:r w:rsidRPr="00DE1331">
        <w:t>.</w:t>
      </w:r>
      <w:r>
        <w:t xml:space="preserve">  </w:t>
      </w:r>
    </w:p>
    <w:p w14:paraId="3F92E4C1" w14:textId="4E781DEB" w:rsidR="00A3477A" w:rsidRDefault="00A3477A" w:rsidP="00A3477A">
      <w:pPr>
        <w:pStyle w:val="Caption"/>
      </w:pPr>
      <w:bookmarkStart w:id="17" w:name="_Ref521688154"/>
      <w:bookmarkStart w:id="18" w:name="_Ref521688032"/>
      <w:r>
        <w:t xml:space="preserve">Figure </w:t>
      </w:r>
      <w:r>
        <w:rPr>
          <w:noProof/>
        </w:rPr>
        <w:fldChar w:fldCharType="begin"/>
      </w:r>
      <w:r>
        <w:rPr>
          <w:noProof/>
        </w:rPr>
        <w:instrText xml:space="preserve"> SEQ Figure \* ARABIC </w:instrText>
      </w:r>
      <w:r>
        <w:rPr>
          <w:noProof/>
        </w:rPr>
        <w:fldChar w:fldCharType="separate"/>
      </w:r>
      <w:r w:rsidR="0001730D">
        <w:rPr>
          <w:noProof/>
        </w:rPr>
        <w:t>8</w:t>
      </w:r>
      <w:r>
        <w:rPr>
          <w:noProof/>
        </w:rPr>
        <w:fldChar w:fldCharType="end"/>
      </w:r>
      <w:bookmarkEnd w:id="17"/>
      <w:r>
        <w:t>: Average United Kingdom house price 1970 to 2017</w:t>
      </w:r>
      <w:r>
        <w:rPr>
          <w:rStyle w:val="EndnoteReference"/>
        </w:rPr>
        <w:endnoteReference w:id="9"/>
      </w:r>
      <w:bookmarkEnd w:id="18"/>
    </w:p>
    <w:p w14:paraId="015E9FF3" w14:textId="395BF117" w:rsidR="00A3477A" w:rsidRDefault="00A3477A" w:rsidP="00A3477A">
      <w:r w:rsidRPr="0045544D">
        <w:rPr>
          <w:noProof/>
          <w:lang w:eastAsia="ja-JP"/>
        </w:rPr>
        <w:drawing>
          <wp:inline distT="0" distB="0" distL="0" distR="0" wp14:anchorId="74BDFB50" wp14:editId="0A74AEA0">
            <wp:extent cx="5781675" cy="3733800"/>
            <wp:effectExtent l="0" t="0" r="9525" b="0"/>
            <wp:docPr id="10" name="Chart 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AA952CB" w14:textId="77777777" w:rsidR="00642060" w:rsidRDefault="00642060" w:rsidP="00A3477A"/>
    <w:p w14:paraId="262AECF8" w14:textId="52C780E9" w:rsidR="00A3477A" w:rsidRDefault="00A3477A" w:rsidP="00A3477A">
      <w:r>
        <w:t>Increased lending for property purchase caused a reduction in the affordability of property in England, which is reflected by the median English house price increasing from 3.5 times median annual earnings in 1997 to 7.7 times median annual earnings in 2016 (please see</w:t>
      </w:r>
      <w:r w:rsidR="00E41C99">
        <w:t xml:space="preserve"> </w:t>
      </w:r>
      <w:r w:rsidR="00E41C99">
        <w:fldChar w:fldCharType="begin"/>
      </w:r>
      <w:r w:rsidR="00E41C99">
        <w:instrText xml:space="preserve"> REF _Ref522121278 \h </w:instrText>
      </w:r>
      <w:r w:rsidR="00E41C99">
        <w:fldChar w:fldCharType="separate"/>
      </w:r>
      <w:r w:rsidR="00E41C99">
        <w:t xml:space="preserve">figure </w:t>
      </w:r>
      <w:r w:rsidR="00E41C99">
        <w:rPr>
          <w:noProof/>
        </w:rPr>
        <w:t>9</w:t>
      </w:r>
      <w:r w:rsidR="00E41C99">
        <w:fldChar w:fldCharType="end"/>
      </w:r>
      <w:r>
        <w:t xml:space="preserve">). </w:t>
      </w:r>
    </w:p>
    <w:p w14:paraId="3081493F" w14:textId="77777777" w:rsidR="00642060" w:rsidRDefault="00642060">
      <w:pPr>
        <w:spacing w:before="0" w:after="160" w:line="259" w:lineRule="auto"/>
        <w:jc w:val="left"/>
        <w:rPr>
          <w:b/>
          <w:sz w:val="20"/>
          <w:szCs w:val="20"/>
        </w:rPr>
      </w:pPr>
      <w:bookmarkStart w:id="19" w:name="_Ref522121278"/>
      <w:r>
        <w:br w:type="page"/>
      </w:r>
    </w:p>
    <w:p w14:paraId="57D1A8B4" w14:textId="20D1ED17" w:rsidR="00A3477A" w:rsidRDefault="00A3477A" w:rsidP="00A3477A">
      <w:pPr>
        <w:pStyle w:val="Caption"/>
      </w:pPr>
      <w:r>
        <w:lastRenderedPageBreak/>
        <w:t xml:space="preserve">Figure </w:t>
      </w:r>
      <w:r>
        <w:rPr>
          <w:noProof/>
        </w:rPr>
        <w:fldChar w:fldCharType="begin"/>
      </w:r>
      <w:r>
        <w:rPr>
          <w:noProof/>
        </w:rPr>
        <w:instrText xml:space="preserve"> SEQ Figure \* ARABIC </w:instrText>
      </w:r>
      <w:r>
        <w:rPr>
          <w:noProof/>
        </w:rPr>
        <w:fldChar w:fldCharType="separate"/>
      </w:r>
      <w:r w:rsidR="0001730D">
        <w:rPr>
          <w:noProof/>
        </w:rPr>
        <w:t>9</w:t>
      </w:r>
      <w:r>
        <w:rPr>
          <w:noProof/>
        </w:rPr>
        <w:fldChar w:fldCharType="end"/>
      </w:r>
      <w:bookmarkEnd w:id="19"/>
      <w:r>
        <w:t>: Ratio of median English house price to median annual earnings in England</w:t>
      </w:r>
      <w:r>
        <w:rPr>
          <w:rStyle w:val="EndnoteReference"/>
        </w:rPr>
        <w:endnoteReference w:id="10"/>
      </w:r>
    </w:p>
    <w:p w14:paraId="2141F917" w14:textId="727E5461" w:rsidR="00A3477A" w:rsidRDefault="00A3477A" w:rsidP="00A3477A">
      <w:r w:rsidRPr="0045544D">
        <w:rPr>
          <w:noProof/>
          <w:lang w:eastAsia="ja-JP"/>
        </w:rPr>
        <w:drawing>
          <wp:inline distT="0" distB="0" distL="0" distR="0" wp14:anchorId="375F1D5B" wp14:editId="6F39D2B5">
            <wp:extent cx="5695950" cy="3000375"/>
            <wp:effectExtent l="0" t="0" r="0" b="9525"/>
            <wp:docPr id="9"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81B6142" w14:textId="2DD7BCAD" w:rsidR="0001730D" w:rsidRDefault="0001730D" w:rsidP="0001730D">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10</w:t>
      </w:r>
      <w:r>
        <w:rPr>
          <w:noProof/>
        </w:rPr>
        <w:fldChar w:fldCharType="end"/>
      </w:r>
      <w:r>
        <w:t>: Percentage change in house prices in relation to percentage change in lending to purchase dwellings.</w:t>
      </w:r>
    </w:p>
    <w:p w14:paraId="4D6F150A" w14:textId="77777777" w:rsidR="0001730D" w:rsidRDefault="0001730D" w:rsidP="0001730D">
      <w:r w:rsidRPr="0045544D">
        <w:rPr>
          <w:noProof/>
          <w:lang w:eastAsia="ja-JP"/>
        </w:rPr>
        <w:drawing>
          <wp:inline distT="0" distB="0" distL="0" distR="0" wp14:anchorId="39870869" wp14:editId="0C5A6D94">
            <wp:extent cx="5804535" cy="3568700"/>
            <wp:effectExtent l="0" t="0" r="5715" b="12700"/>
            <wp:docPr id="11" name="Chart 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377F264" w14:textId="77777777" w:rsidR="0001730D" w:rsidRDefault="0001730D" w:rsidP="00A3477A"/>
    <w:p w14:paraId="3B3E8E0F" w14:textId="77777777" w:rsidR="0001730D" w:rsidRDefault="0001730D" w:rsidP="00A3477A">
      <w:pPr>
        <w:pStyle w:val="Caption"/>
      </w:pPr>
      <w:bookmarkStart w:id="20" w:name="_Ref522121844"/>
    </w:p>
    <w:p w14:paraId="40D8A1EA" w14:textId="77777777" w:rsidR="00642060" w:rsidRDefault="00642060">
      <w:pPr>
        <w:spacing w:before="0" w:after="160" w:line="259" w:lineRule="auto"/>
        <w:jc w:val="left"/>
        <w:rPr>
          <w:b/>
          <w:sz w:val="20"/>
          <w:szCs w:val="20"/>
        </w:rPr>
      </w:pPr>
      <w:bookmarkStart w:id="21" w:name="_Ref22985504"/>
      <w:r>
        <w:br w:type="page"/>
      </w:r>
    </w:p>
    <w:p w14:paraId="7AFDB487" w14:textId="6AE3D112" w:rsidR="00A3477A" w:rsidRDefault="00A3477A" w:rsidP="00A3477A">
      <w:pPr>
        <w:pStyle w:val="Caption"/>
      </w:pPr>
      <w:r>
        <w:lastRenderedPageBreak/>
        <w:t xml:space="preserve">Figure </w:t>
      </w:r>
      <w:r>
        <w:rPr>
          <w:noProof/>
        </w:rPr>
        <w:fldChar w:fldCharType="begin"/>
      </w:r>
      <w:r>
        <w:rPr>
          <w:noProof/>
        </w:rPr>
        <w:instrText xml:space="preserve"> SEQ Figure \* ARABIC </w:instrText>
      </w:r>
      <w:r>
        <w:rPr>
          <w:noProof/>
        </w:rPr>
        <w:fldChar w:fldCharType="separate"/>
      </w:r>
      <w:r w:rsidR="0001730D">
        <w:rPr>
          <w:noProof/>
        </w:rPr>
        <w:t>11</w:t>
      </w:r>
      <w:r>
        <w:rPr>
          <w:noProof/>
        </w:rPr>
        <w:fldChar w:fldCharType="end"/>
      </w:r>
      <w:bookmarkEnd w:id="20"/>
      <w:bookmarkEnd w:id="21"/>
      <w:r>
        <w:t>: Impact of change in lending to purchase dwellings by financial institutions on house price inflation</w:t>
      </w:r>
    </w:p>
    <w:p w14:paraId="7203A2B0" w14:textId="45DC8900" w:rsidR="00A3477A" w:rsidRDefault="00A3477A" w:rsidP="00A3477A">
      <w:r w:rsidRPr="0045544D">
        <w:rPr>
          <w:noProof/>
          <w:lang w:eastAsia="ja-JP"/>
        </w:rPr>
        <w:drawing>
          <wp:inline distT="0" distB="0" distL="0" distR="0" wp14:anchorId="56F5F81C" wp14:editId="55DA066A">
            <wp:extent cx="5581650" cy="3886200"/>
            <wp:effectExtent l="0" t="0" r="0" b="0"/>
            <wp:docPr id="8" name="Char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9D4C647" w14:textId="77777777" w:rsidR="00642060" w:rsidRDefault="00642060" w:rsidP="00A3477A"/>
    <w:p w14:paraId="10853FB0" w14:textId="7FF0F430" w:rsidR="00A3477A" w:rsidRDefault="00A3477A" w:rsidP="00A3477A">
      <w:r>
        <w:t>Increased</w:t>
      </w:r>
      <w:r w:rsidRPr="001C2019">
        <w:t xml:space="preserve"> borrowing by speculators to purchase property and financial assets </w:t>
      </w:r>
      <w:r>
        <w:t xml:space="preserve">is encouraged by increased collateral arising from the initial speculative gains resulting from rising asset prices. A further factor increasing demand for assets whose value is rising, is speculators expectations that there will be future speculative gains arising from further increases in asset prices. Richard Werner </w:t>
      </w:r>
      <w:r>
        <w:rPr>
          <w:noProof/>
        </w:rPr>
        <w:t>(2005, p. 228; 2013, p. 362)</w:t>
      </w:r>
      <w:r>
        <w:t xml:space="preserve"> refers to this as </w:t>
      </w:r>
      <w:r w:rsidRPr="00410182">
        <w:rPr>
          <w:b/>
          <w:bCs/>
        </w:rPr>
        <w:t>Say’s Law of Credit</w:t>
      </w:r>
      <w:r>
        <w:t xml:space="preserve">, because an increased supply of credit creates greater demand for credit to purchase property and financial assets, as a consequence of increased lending causing speculators to believe that there will be future increases in property and financial asset prices. </w:t>
      </w:r>
    </w:p>
    <w:p w14:paraId="1F9542EC" w14:textId="485B3F79" w:rsidR="00A3477A" w:rsidRDefault="00410182" w:rsidP="0077607D">
      <w:r>
        <w:t xml:space="preserve">The 2007 financial crisis was a consequence of commercial banks’ lending excessively for non-GDP transactions that encouraged speculators to purchase existing properties and financial assets with the intention of profiting from increasing asset values.  </w:t>
      </w:r>
      <w:r w:rsidR="00A3477A">
        <w:t>Banking crises tend to follow a period of rapid increases in asset prices</w:t>
      </w:r>
      <w:r w:rsidR="00A3477A">
        <w:rPr>
          <w:noProof/>
        </w:rPr>
        <w:t xml:space="preserve"> (Reinhart &amp; Rogoff, 2009)</w:t>
      </w:r>
      <w:r w:rsidR="00A3477A">
        <w:t>. At some point the perception that assets may be over-valued influences investors’ perceptions of likely future price movements, and asset prices will fall when credit creation is no longer forthcoming for further asset purchases. This context produces a ‘Minsky Moment’</w:t>
      </w:r>
      <w:r w:rsidR="00A3477A">
        <w:rPr>
          <w:noProof/>
        </w:rPr>
        <w:t xml:space="preserve"> (Minsky, 1992)</w:t>
      </w:r>
      <w:r w:rsidR="00A3477A">
        <w:t xml:space="preserve">. Falling asset prices cause speculators to lose money, and their loans will become non-performing because investors are unable to fulfil their contracted repayments. Banks have a relatively small capital cushion of around 10% of their asset base. Therefore, when the diminution in the value of a bank’s assets exceeds 10% it will cause the bank to become insolvent. </w:t>
      </w:r>
    </w:p>
    <w:p w14:paraId="3C351733" w14:textId="44A014AB" w:rsidR="00A3477A" w:rsidRDefault="00A3477A" w:rsidP="00A3477A">
      <w:r>
        <w:t>Flows of new bank credit money promoted an increase in the prices of financial assets</w:t>
      </w:r>
      <w:r w:rsidRPr="0053617E">
        <w:t xml:space="preserve"> </w:t>
      </w:r>
      <w:r>
        <w:t xml:space="preserve">and property relative to the prices of goods and services in the real economy. Misalignment of prices in the financialised and real economies produced increasing debt servicing costs within the real economy, which placed increasing burdens on the real economy to service loans acquired to conduct non-GDP transactions. In the immediate aftermath of the 2007 financial crisis there was a need to resolve structural imbalances within the economy, which arose from </w:t>
      </w:r>
      <w:r>
        <w:lastRenderedPageBreak/>
        <w:t xml:space="preserve">rapidly increasing debt servicing costs that were a consequence of prices within the non-GDP sector of the economy rising much faster than </w:t>
      </w:r>
      <w:r w:rsidR="0077607D">
        <w:t xml:space="preserve">GDP inflation, and faster than </w:t>
      </w:r>
      <w:r>
        <w:t>the</w:t>
      </w:r>
      <w:r w:rsidR="0077607D">
        <w:t xml:space="preserve"> growth in</w:t>
      </w:r>
      <w:r>
        <w:t xml:space="preserve"> real-economic output of the economy.</w:t>
      </w:r>
    </w:p>
    <w:p w14:paraId="5BC7D398" w14:textId="4873E031" w:rsidR="00A3477A" w:rsidRDefault="00A3477A" w:rsidP="00A3477A">
      <w:r>
        <w:t xml:space="preserve">Richard Werner suggests The Bank of England should have introduced </w:t>
      </w:r>
      <w:r w:rsidR="00DB3770">
        <w:t>credit guidance (also referred to as window guidance</w:t>
      </w:r>
      <w:r w:rsidR="00DB3770">
        <w:rPr>
          <w:rStyle w:val="EndnoteReference"/>
        </w:rPr>
        <w:endnoteReference w:id="11"/>
      </w:r>
      <w:r w:rsidR="00DB3770">
        <w:rPr>
          <w:noProof/>
        </w:rPr>
        <w:t xml:space="preserve"> (Werner R. A., 2005, pp. 268 - 270; Werner R. A., 2013, p. 368; Ryan-Collins, Greenham, Werner, &amp; Jackson, 2011, p. 111)</w:t>
      </w:r>
      <w:r w:rsidR="00DB3770">
        <w:t xml:space="preserve">), in order to define the proportion of lending that should be allocated by commercial banks to various sectors of the economy, and facilitate the rebalancing of financial flows between </w:t>
      </w:r>
      <w:r w:rsidR="00902D33">
        <w:t xml:space="preserve">various </w:t>
      </w:r>
      <w:r w:rsidR="00DB3770">
        <w:t>sectors of the economy. Central bank credit guidance would direct</w:t>
      </w:r>
      <w:r>
        <w:t xml:space="preserve"> commercial bank</w:t>
      </w:r>
      <w:r w:rsidR="00DB3770">
        <w:t xml:space="preserve"> lending</w:t>
      </w:r>
      <w:r>
        <w:t xml:space="preserve"> to</w:t>
      </w:r>
      <w:r w:rsidR="00DB3770">
        <w:t>wards investment</w:t>
      </w:r>
      <w:r w:rsidR="00902D33" w:rsidRPr="00902D33">
        <w:t xml:space="preserve"> </w:t>
      </w:r>
      <w:r w:rsidR="00902D33">
        <w:t>outside the financial sector</w:t>
      </w:r>
      <w:r w:rsidR="00DB3770">
        <w:t>, with the aim of promoting increased lending to facilitate an increase in GDP transactions. Secondly, credit guidance would</w:t>
      </w:r>
      <w:r>
        <w:t xml:space="preserve"> reduc</w:t>
      </w:r>
      <w:r w:rsidR="00DB3770">
        <w:t>e</w:t>
      </w:r>
      <w:r>
        <w:t xml:space="preserve"> </w:t>
      </w:r>
      <w:r w:rsidR="00DB3770">
        <w:t>commercial bank</w:t>
      </w:r>
      <w:r>
        <w:t xml:space="preserve"> lending and credit money creation to facilitate non-GDP transactions relating to property and financial asset </w:t>
      </w:r>
      <w:r w:rsidR="00DB3770">
        <w:t>speculation</w:t>
      </w:r>
      <w:r w:rsidR="00902D33">
        <w:t>,</w:t>
      </w:r>
      <w:r>
        <w:t xml:space="preserve"> reducing lending </w:t>
      </w:r>
      <w:r w:rsidR="00902D33">
        <w:t>for speculation</w:t>
      </w:r>
      <w:r>
        <w:t xml:space="preserve">. Commercial banks would incur financial penalties, if they did not adhere to changing the direction of lending to improve macroeconomic stability. The Bank of England has not introduced credit guidance for commercial banks, and imbalances within the economy have consequently increased. Lending for the purchase of property continued to increase relative to lending to </w:t>
      </w:r>
      <w:bookmarkStart w:id="22" w:name="_Hlk520717451"/>
      <w:r>
        <w:t xml:space="preserve">private non-financial companies for investment </w:t>
      </w:r>
      <w:bookmarkEnd w:id="22"/>
      <w:r>
        <w:t>that would increase GDP, post 2007 (please see</w:t>
      </w:r>
      <w:r w:rsidR="00E41C99">
        <w:t xml:space="preserve"> </w:t>
      </w:r>
      <w:r w:rsidR="00E41C99">
        <w:fldChar w:fldCharType="begin"/>
      </w:r>
      <w:r w:rsidR="00E41C99">
        <w:instrText xml:space="preserve"> REF _Ref22985650 \h </w:instrText>
      </w:r>
      <w:r w:rsidR="00E41C99">
        <w:fldChar w:fldCharType="separate"/>
      </w:r>
      <w:r w:rsidR="00E41C99">
        <w:t xml:space="preserve">figure </w:t>
      </w:r>
      <w:r w:rsidR="00E41C99">
        <w:rPr>
          <w:noProof/>
        </w:rPr>
        <w:t>12</w:t>
      </w:r>
      <w:r w:rsidR="00E41C99">
        <w:fldChar w:fldCharType="end"/>
      </w:r>
      <w:r>
        <w:t>). Secondly, lending by financial institutions to other financial institutions continued to rise relative to loans to private</w:t>
      </w:r>
      <w:r w:rsidRPr="00372B13">
        <w:t xml:space="preserve"> non-financial companies</w:t>
      </w:r>
      <w:r>
        <w:t xml:space="preserve"> following the 2007 financial crisis (please see</w:t>
      </w:r>
      <w:r w:rsidR="00E41C99">
        <w:t xml:space="preserve"> </w:t>
      </w:r>
      <w:r w:rsidR="00E41C99">
        <w:fldChar w:fldCharType="begin"/>
      </w:r>
      <w:r w:rsidR="00E41C99">
        <w:instrText xml:space="preserve"> REF _Ref22985650 \h </w:instrText>
      </w:r>
      <w:r w:rsidR="00E41C99">
        <w:fldChar w:fldCharType="separate"/>
      </w:r>
      <w:r w:rsidR="00E41C99">
        <w:t xml:space="preserve">figure </w:t>
      </w:r>
      <w:r w:rsidR="00E41C99">
        <w:rPr>
          <w:noProof/>
        </w:rPr>
        <w:t>12</w:t>
      </w:r>
      <w:r w:rsidR="00E41C99">
        <w:fldChar w:fldCharType="end"/>
      </w:r>
      <w:r>
        <w:t xml:space="preserve">). </w:t>
      </w:r>
    </w:p>
    <w:p w14:paraId="206C9085" w14:textId="77777777" w:rsidR="00642060" w:rsidRDefault="00642060" w:rsidP="00A3477A"/>
    <w:p w14:paraId="1C0D66C8" w14:textId="3D67E558" w:rsidR="00A3477A" w:rsidRDefault="00A3477A" w:rsidP="00A3477A">
      <w:pPr>
        <w:pStyle w:val="Caption"/>
      </w:pPr>
      <w:bookmarkStart w:id="23" w:name="_Ref521931053"/>
      <w:bookmarkStart w:id="24" w:name="_Ref22985650"/>
      <w:r>
        <w:t xml:space="preserve">Figure </w:t>
      </w:r>
      <w:r>
        <w:rPr>
          <w:noProof/>
        </w:rPr>
        <w:fldChar w:fldCharType="begin"/>
      </w:r>
      <w:r>
        <w:rPr>
          <w:noProof/>
        </w:rPr>
        <w:instrText xml:space="preserve"> SEQ Figure \* ARABIC </w:instrText>
      </w:r>
      <w:r>
        <w:rPr>
          <w:noProof/>
        </w:rPr>
        <w:fldChar w:fldCharType="separate"/>
      </w:r>
      <w:r w:rsidR="0001730D">
        <w:rPr>
          <w:noProof/>
        </w:rPr>
        <w:t>12</w:t>
      </w:r>
      <w:r>
        <w:rPr>
          <w:noProof/>
        </w:rPr>
        <w:fldChar w:fldCharType="end"/>
      </w:r>
      <w:bookmarkEnd w:id="23"/>
      <w:bookmarkEnd w:id="24"/>
      <w:r>
        <w:t>: Lending to individuals and financial corporations relative to non-financial corporations</w:t>
      </w:r>
      <w:r>
        <w:rPr>
          <w:rStyle w:val="EndnoteReference"/>
        </w:rPr>
        <w:endnoteReference w:id="12"/>
      </w:r>
    </w:p>
    <w:p w14:paraId="492CC419" w14:textId="09278AB0" w:rsidR="00A3477A" w:rsidRDefault="00A3477A" w:rsidP="00A3477A">
      <w:r w:rsidRPr="0045544D">
        <w:rPr>
          <w:noProof/>
          <w:lang w:eastAsia="ja-JP"/>
        </w:rPr>
        <w:drawing>
          <wp:inline distT="0" distB="0" distL="0" distR="0" wp14:anchorId="353C3206" wp14:editId="0719F062">
            <wp:extent cx="5695315" cy="2952115"/>
            <wp:effectExtent l="0" t="0" r="635" b="635"/>
            <wp:docPr id="7" name="Chart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38BD688" w14:textId="77777777" w:rsidR="00A3477A" w:rsidRDefault="00A3477A" w:rsidP="00A3477A"/>
    <w:p w14:paraId="10953DE3" w14:textId="77777777" w:rsidR="00642060" w:rsidRDefault="00642060">
      <w:pPr>
        <w:spacing w:before="0" w:after="160" w:line="259" w:lineRule="auto"/>
        <w:jc w:val="left"/>
        <w:rPr>
          <w:rFonts w:eastAsia="SimSun" w:cs="Arial"/>
          <w:b/>
          <w:bCs/>
          <w:i/>
          <w:iCs/>
          <w:sz w:val="28"/>
          <w:szCs w:val="28"/>
        </w:rPr>
      </w:pPr>
      <w:bookmarkStart w:id="25" w:name="_Toc22647355"/>
      <w:r>
        <w:br w:type="page"/>
      </w:r>
    </w:p>
    <w:p w14:paraId="3557381D" w14:textId="77777777" w:rsidR="00A3477A" w:rsidRDefault="00A3477A" w:rsidP="00A3477A">
      <w:pPr>
        <w:pStyle w:val="Heading1"/>
      </w:pPr>
      <w:bookmarkStart w:id="26" w:name="_Toc22647356"/>
      <w:bookmarkStart w:id="27" w:name="_GoBack"/>
      <w:bookmarkEnd w:id="25"/>
      <w:bookmarkEnd w:id="27"/>
      <w:r>
        <w:lastRenderedPageBreak/>
        <w:t>Bibliography</w:t>
      </w:r>
      <w:bookmarkEnd w:id="26"/>
    </w:p>
    <w:p w14:paraId="6E107F95" w14:textId="77777777" w:rsidR="00A3477A" w:rsidRDefault="00A3477A" w:rsidP="00A3477A">
      <w:pPr>
        <w:pStyle w:val="Bibliography"/>
        <w:ind w:left="720" w:hanging="720"/>
        <w:rPr>
          <w:noProof/>
          <w:sz w:val="24"/>
        </w:rPr>
      </w:pPr>
      <w:r>
        <w:rPr>
          <w:noProof/>
        </w:rPr>
        <w:t xml:space="preserve">Ashby, W. (1969). Self-regulation and requisite variety. </w:t>
      </w:r>
      <w:r>
        <w:rPr>
          <w:i/>
          <w:iCs/>
          <w:noProof/>
        </w:rPr>
        <w:t>Systems thinking</w:t>
      </w:r>
      <w:r>
        <w:rPr>
          <w:noProof/>
        </w:rPr>
        <w:t>, 105 - 124.</w:t>
      </w:r>
    </w:p>
    <w:p w14:paraId="09FB692C" w14:textId="77777777" w:rsidR="00A3477A" w:rsidRDefault="00A3477A" w:rsidP="00A3477A">
      <w:pPr>
        <w:pStyle w:val="Bibliography"/>
        <w:ind w:left="720" w:hanging="720"/>
        <w:rPr>
          <w:noProof/>
        </w:rPr>
      </w:pPr>
      <w:r>
        <w:rPr>
          <w:noProof/>
        </w:rPr>
        <w:t xml:space="preserve">Bank of England. (1991). </w:t>
      </w:r>
      <w:r>
        <w:rPr>
          <w:i/>
          <w:iCs/>
          <w:noProof/>
        </w:rPr>
        <w:t>The performance of major British banks, 1970 - 1990 (Quarterly Bulletin Q4).</w:t>
      </w:r>
      <w:r>
        <w:rPr>
          <w:noProof/>
        </w:rPr>
        <w:t xml:space="preserve"> Retrieved from Bank of England: https://www.bankofengland.co.uk/-/media/boe/files/quarterly-bulletin/1991/the-performance-of-major-british-banks</w:t>
      </w:r>
    </w:p>
    <w:p w14:paraId="0CFE8226" w14:textId="77777777" w:rsidR="00A3477A" w:rsidRDefault="00A3477A" w:rsidP="00A3477A">
      <w:pPr>
        <w:pStyle w:val="Bibliography"/>
        <w:ind w:left="720" w:hanging="720"/>
        <w:rPr>
          <w:noProof/>
        </w:rPr>
      </w:pPr>
      <w:r>
        <w:rPr>
          <w:noProof/>
        </w:rPr>
        <w:t xml:space="preserve">Bank of England. (1999). </w:t>
      </w:r>
      <w:r>
        <w:rPr>
          <w:i/>
          <w:iCs/>
          <w:noProof/>
        </w:rPr>
        <w:t>The transmission mechanism of monetary policy.</w:t>
      </w:r>
      <w:r>
        <w:rPr>
          <w:noProof/>
        </w:rPr>
        <w:t xml:space="preserve"> Retrieved from Bank of England: https://www.bankofengland.co.uk/-/media/boe/files/quarterly-bulletin/1999/the-transmission-mechanism-of-monetary-policy</w:t>
      </w:r>
    </w:p>
    <w:p w14:paraId="1AD39205" w14:textId="77777777" w:rsidR="00A3477A" w:rsidRDefault="00A3477A" w:rsidP="00A3477A">
      <w:pPr>
        <w:pStyle w:val="Bibliography"/>
        <w:ind w:left="720" w:hanging="720"/>
        <w:rPr>
          <w:noProof/>
        </w:rPr>
      </w:pPr>
      <w:r w:rsidRPr="0061115E">
        <w:rPr>
          <w:noProof/>
          <w:lang w:val="sv-SE"/>
        </w:rPr>
        <w:t xml:space="preserve">Barnett, A., Batten, S., Chu, A., Franklin, J., &amp; Sebastiá-Barriel, M. (2014). </w:t>
      </w:r>
      <w:r>
        <w:rPr>
          <w:noProof/>
        </w:rPr>
        <w:t xml:space="preserve">The UK Productivity Puzzle. </w:t>
      </w:r>
      <w:r>
        <w:rPr>
          <w:i/>
          <w:iCs/>
          <w:noProof/>
        </w:rPr>
        <w:t>Bank of England Quarterly Bulletin (Q2)</w:t>
      </w:r>
      <w:r>
        <w:rPr>
          <w:noProof/>
        </w:rPr>
        <w:t>, 122.</w:t>
      </w:r>
    </w:p>
    <w:p w14:paraId="419595B8" w14:textId="77777777" w:rsidR="00A3477A" w:rsidRDefault="00A3477A" w:rsidP="00A3477A">
      <w:pPr>
        <w:pStyle w:val="Bibliography"/>
        <w:ind w:left="720" w:hanging="720"/>
        <w:rPr>
          <w:noProof/>
        </w:rPr>
      </w:pPr>
      <w:r>
        <w:rPr>
          <w:noProof/>
        </w:rPr>
        <w:t xml:space="preserve">Council of Mortgage Lenders. (2016). </w:t>
      </w:r>
      <w:r>
        <w:rPr>
          <w:i/>
          <w:iCs/>
          <w:noProof/>
        </w:rPr>
        <w:t>The profile of UK private landlords.</w:t>
      </w:r>
      <w:r>
        <w:rPr>
          <w:noProof/>
        </w:rPr>
        <w:t xml:space="preserve"> Retrieved from Council of Mortgage Lenders: https://www.cml.org.uk/news/cml-research/the-profile-of-uk-private/</w:t>
      </w:r>
    </w:p>
    <w:p w14:paraId="229D8DC3" w14:textId="77777777" w:rsidR="00A3477A" w:rsidRDefault="00A3477A" w:rsidP="00A3477A">
      <w:pPr>
        <w:pStyle w:val="Bibliography"/>
        <w:ind w:left="720" w:hanging="720"/>
        <w:rPr>
          <w:noProof/>
        </w:rPr>
      </w:pPr>
      <w:r>
        <w:rPr>
          <w:noProof/>
        </w:rPr>
        <w:t xml:space="preserve">DiMaggio, P., &amp; Powell, W. (1983). The Iron Cage Revisited: Collective Rationality and Institutional Isomorphism in Organizational Fields. </w:t>
      </w:r>
      <w:r>
        <w:rPr>
          <w:i/>
          <w:iCs/>
          <w:noProof/>
        </w:rPr>
        <w:t>American Sociological Review 48 (2)</w:t>
      </w:r>
      <w:r>
        <w:rPr>
          <w:noProof/>
        </w:rPr>
        <w:t>, 147 - 160.</w:t>
      </w:r>
    </w:p>
    <w:p w14:paraId="1154241F" w14:textId="77777777" w:rsidR="00A3477A" w:rsidRDefault="00A3477A" w:rsidP="00A3477A">
      <w:pPr>
        <w:pStyle w:val="Bibliography"/>
        <w:ind w:left="720" w:hanging="720"/>
        <w:rPr>
          <w:noProof/>
        </w:rPr>
      </w:pPr>
      <w:r>
        <w:rPr>
          <w:noProof/>
        </w:rPr>
        <w:t xml:space="preserve">Jarvis, J. (2011). </w:t>
      </w:r>
      <w:r>
        <w:rPr>
          <w:i/>
          <w:iCs/>
          <w:noProof/>
        </w:rPr>
        <w:t>The Crisis of Credit Visualized.</w:t>
      </w:r>
      <w:r>
        <w:rPr>
          <w:noProof/>
        </w:rPr>
        <w:t xml:space="preserve"> Retrieved from YouTube: https://www.youtube.com/watch?v=bx_LWm6_6tA</w:t>
      </w:r>
    </w:p>
    <w:p w14:paraId="63FA682A" w14:textId="77777777" w:rsidR="00A3477A" w:rsidRDefault="00A3477A" w:rsidP="00A3477A">
      <w:pPr>
        <w:pStyle w:val="Bibliography"/>
        <w:ind w:left="720" w:hanging="720"/>
        <w:rPr>
          <w:noProof/>
        </w:rPr>
      </w:pPr>
      <w:r>
        <w:rPr>
          <w:noProof/>
        </w:rPr>
        <w:t xml:space="preserve">Keen, S. (2017). </w:t>
      </w:r>
      <w:r>
        <w:rPr>
          <w:i/>
          <w:iCs/>
          <w:noProof/>
        </w:rPr>
        <w:t>Can we avoid another financial crisis?</w:t>
      </w:r>
      <w:r>
        <w:rPr>
          <w:noProof/>
        </w:rPr>
        <w:t xml:space="preserve"> Cambridge, England: Polity Press.</w:t>
      </w:r>
    </w:p>
    <w:p w14:paraId="187B0839" w14:textId="77777777" w:rsidR="00A3477A" w:rsidRDefault="00A3477A" w:rsidP="00A3477A">
      <w:pPr>
        <w:pStyle w:val="Bibliography"/>
        <w:ind w:left="720" w:hanging="720"/>
        <w:rPr>
          <w:noProof/>
        </w:rPr>
      </w:pPr>
      <w:r>
        <w:rPr>
          <w:noProof/>
        </w:rPr>
        <w:t xml:space="preserve">Krugman, P. (2009, July 7th). </w:t>
      </w:r>
      <w:r>
        <w:rPr>
          <w:i/>
          <w:iCs/>
          <w:noProof/>
        </w:rPr>
        <w:t>The paradox of thrift — for real.</w:t>
      </w:r>
      <w:r>
        <w:rPr>
          <w:noProof/>
        </w:rPr>
        <w:t xml:space="preserve"> Retrieved from The New York Times: https://krugman.blogs.nytimes.com/2009/07/07/the-paradox-of-thrift-for-real/</w:t>
      </w:r>
    </w:p>
    <w:p w14:paraId="42F73AF0" w14:textId="77777777" w:rsidR="00A3477A" w:rsidRDefault="00A3477A" w:rsidP="00A3477A">
      <w:pPr>
        <w:pStyle w:val="Bibliography"/>
        <w:ind w:left="720" w:hanging="720"/>
        <w:rPr>
          <w:noProof/>
        </w:rPr>
      </w:pPr>
      <w:r w:rsidRPr="0061115E">
        <w:rPr>
          <w:noProof/>
          <w:lang w:val="de-DE"/>
        </w:rPr>
        <w:t xml:space="preserve">Lee, K.-S., &amp; Werner, R. A. (2018). </w:t>
      </w:r>
      <w:r>
        <w:rPr>
          <w:noProof/>
        </w:rPr>
        <w:t xml:space="preserve">Reconsidering Monetary Policy: An Empirical Examination of the Relationship Between Interest Rates and Nominal GDP Growth in the US, UK, Germany and Japan. </w:t>
      </w:r>
      <w:r>
        <w:rPr>
          <w:i/>
          <w:iCs/>
          <w:noProof/>
        </w:rPr>
        <w:t>Ecological Economics, 146</w:t>
      </w:r>
      <w:r>
        <w:rPr>
          <w:noProof/>
        </w:rPr>
        <w:t>, 26 - 34.</w:t>
      </w:r>
    </w:p>
    <w:p w14:paraId="219CE6ED" w14:textId="77777777" w:rsidR="00A3477A" w:rsidRDefault="00A3477A" w:rsidP="00A3477A">
      <w:pPr>
        <w:pStyle w:val="Bibliography"/>
        <w:ind w:left="720" w:hanging="720"/>
        <w:rPr>
          <w:noProof/>
        </w:rPr>
      </w:pPr>
      <w:r>
        <w:rPr>
          <w:noProof/>
        </w:rPr>
        <w:t xml:space="preserve">Lyonnet, V., &amp; Werner, R. A. (2012). Lessons from the Bank of England on 'quantitative easing' and other 'unconventional' monetary policies. </w:t>
      </w:r>
      <w:r>
        <w:rPr>
          <w:i/>
          <w:iCs/>
          <w:noProof/>
        </w:rPr>
        <w:t>International Review of Financial Analysis (25)</w:t>
      </w:r>
      <w:r>
        <w:rPr>
          <w:noProof/>
        </w:rPr>
        <w:t>, 94-105.</w:t>
      </w:r>
    </w:p>
    <w:p w14:paraId="1B53CE7E" w14:textId="77777777" w:rsidR="00A3477A" w:rsidRDefault="00A3477A" w:rsidP="00A3477A">
      <w:pPr>
        <w:pStyle w:val="Bibliography"/>
        <w:ind w:left="720" w:hanging="720"/>
        <w:rPr>
          <w:noProof/>
        </w:rPr>
      </w:pPr>
      <w:r>
        <w:rPr>
          <w:noProof/>
        </w:rPr>
        <w:t xml:space="preserve">McLeay, M., Radia, A., &amp; Thomas, R. (2014 ). Money creation in the modern economy. </w:t>
      </w:r>
      <w:r>
        <w:rPr>
          <w:i/>
          <w:iCs/>
          <w:noProof/>
        </w:rPr>
        <w:t>The Bank of England Quarterly Bulletin (Q1)</w:t>
      </w:r>
      <w:r>
        <w:rPr>
          <w:noProof/>
        </w:rPr>
        <w:t>, 14 - 27.</w:t>
      </w:r>
    </w:p>
    <w:p w14:paraId="79257AAE" w14:textId="77777777" w:rsidR="00A3477A" w:rsidRDefault="00A3477A" w:rsidP="00A3477A">
      <w:pPr>
        <w:pStyle w:val="Bibliography"/>
        <w:ind w:left="720" w:hanging="720"/>
        <w:rPr>
          <w:noProof/>
        </w:rPr>
      </w:pPr>
      <w:r>
        <w:rPr>
          <w:noProof/>
        </w:rPr>
        <w:t xml:space="preserve">Mian, A., &amp; Sufi, A. (2011). </w:t>
      </w:r>
      <w:r>
        <w:rPr>
          <w:i/>
          <w:iCs/>
          <w:noProof/>
        </w:rPr>
        <w:t>Consumers and the Economy, Part II: Household Debt and the Weak US Recovery. FRBSF Economic Letter, 2.</w:t>
      </w:r>
      <w:r>
        <w:rPr>
          <w:noProof/>
        </w:rPr>
        <w:t xml:space="preserve"> Retrieved from Federal Reserve Bank of San Francisco: https://www.frbsf.org/economic-research/publications/economic-letter/2011/january/consumers-economy-household-debt-weak-us-recovery/</w:t>
      </w:r>
    </w:p>
    <w:p w14:paraId="2DE06D48" w14:textId="77777777" w:rsidR="00A3477A" w:rsidRDefault="00A3477A" w:rsidP="00A3477A">
      <w:pPr>
        <w:pStyle w:val="Bibliography"/>
        <w:ind w:left="720" w:hanging="720"/>
        <w:rPr>
          <w:noProof/>
        </w:rPr>
      </w:pPr>
      <w:r>
        <w:rPr>
          <w:noProof/>
        </w:rPr>
        <w:t xml:space="preserve">Mian, A., &amp; Sufi, A. (2015). </w:t>
      </w:r>
      <w:r>
        <w:rPr>
          <w:i/>
          <w:iCs/>
          <w:noProof/>
        </w:rPr>
        <w:t>House of Debt: how they (and you) caused the Great Recession, and how we can prevent it from happening again.</w:t>
      </w:r>
      <w:r>
        <w:rPr>
          <w:noProof/>
        </w:rPr>
        <w:t xml:space="preserve"> London: The University of Chicago Press.</w:t>
      </w:r>
    </w:p>
    <w:p w14:paraId="15CD379A" w14:textId="77777777" w:rsidR="00A3477A" w:rsidRDefault="00A3477A" w:rsidP="00A3477A">
      <w:pPr>
        <w:pStyle w:val="Bibliography"/>
        <w:ind w:left="720" w:hanging="720"/>
        <w:rPr>
          <w:noProof/>
        </w:rPr>
      </w:pPr>
      <w:r>
        <w:rPr>
          <w:noProof/>
        </w:rPr>
        <w:t xml:space="preserve">Mian, A., Sufi, A., &amp; Trebbi, F. (2014). Resolving Debt Overhang: Political Constraints in the Aftermath of Financial Crises. </w:t>
      </w:r>
      <w:r>
        <w:rPr>
          <w:i/>
          <w:iCs/>
          <w:noProof/>
        </w:rPr>
        <w:t xml:space="preserve">American Economic Journal: Macroeconomics, 6(2), </w:t>
      </w:r>
      <w:r>
        <w:rPr>
          <w:noProof/>
        </w:rPr>
        <w:t>, 1- 28.</w:t>
      </w:r>
    </w:p>
    <w:p w14:paraId="7CDADD9E" w14:textId="77777777" w:rsidR="00A3477A" w:rsidRDefault="00A3477A" w:rsidP="00A3477A">
      <w:pPr>
        <w:pStyle w:val="Bibliography"/>
        <w:ind w:left="720" w:hanging="720"/>
        <w:rPr>
          <w:noProof/>
        </w:rPr>
      </w:pPr>
      <w:r>
        <w:rPr>
          <w:noProof/>
        </w:rPr>
        <w:t xml:space="preserve">Minsky, H. (1992). </w:t>
      </w:r>
      <w:r>
        <w:rPr>
          <w:i/>
          <w:iCs/>
          <w:noProof/>
        </w:rPr>
        <w:t>The Financial Instability Hypothesis. Working Paper number 74 (May).</w:t>
      </w:r>
      <w:r>
        <w:rPr>
          <w:noProof/>
        </w:rPr>
        <w:t xml:space="preserve"> Retrieved from The Jerome Levy Economics Institute of Bard College: http://www.levyinstitute.org/pubs/wp74.pdf</w:t>
      </w:r>
    </w:p>
    <w:p w14:paraId="7374EBF5" w14:textId="77777777" w:rsidR="00A3477A" w:rsidRDefault="00A3477A" w:rsidP="00A3477A">
      <w:pPr>
        <w:pStyle w:val="Bibliography"/>
        <w:ind w:left="720" w:hanging="720"/>
        <w:rPr>
          <w:noProof/>
        </w:rPr>
      </w:pPr>
      <w:r>
        <w:rPr>
          <w:noProof/>
        </w:rPr>
        <w:t xml:space="preserve">North, D. C. (1990). </w:t>
      </w:r>
      <w:r>
        <w:rPr>
          <w:i/>
          <w:iCs/>
          <w:noProof/>
        </w:rPr>
        <w:t>Institutions, Institutional Change and Economic Performance.</w:t>
      </w:r>
      <w:r>
        <w:rPr>
          <w:noProof/>
        </w:rPr>
        <w:t xml:space="preserve"> Cambridge: Cambridge University Press.</w:t>
      </w:r>
    </w:p>
    <w:p w14:paraId="678D160E" w14:textId="77777777" w:rsidR="00A3477A" w:rsidRDefault="00A3477A" w:rsidP="00A3477A">
      <w:pPr>
        <w:pStyle w:val="Bibliography"/>
        <w:ind w:left="720" w:hanging="720"/>
        <w:rPr>
          <w:noProof/>
        </w:rPr>
      </w:pPr>
      <w:r>
        <w:rPr>
          <w:noProof/>
        </w:rPr>
        <w:t xml:space="preserve">Porter, M. E. (2000). Location, Competition, and Economic Development: Local Clusters in a Global Economy. </w:t>
      </w:r>
      <w:r>
        <w:rPr>
          <w:i/>
          <w:iCs/>
          <w:noProof/>
        </w:rPr>
        <w:t>Economic Development Quarterly, Vol. 14 No. 1, February</w:t>
      </w:r>
      <w:r>
        <w:rPr>
          <w:noProof/>
        </w:rPr>
        <w:t>, 15 - 34.</w:t>
      </w:r>
    </w:p>
    <w:p w14:paraId="2A940143" w14:textId="77777777" w:rsidR="00A3477A" w:rsidRDefault="00A3477A" w:rsidP="00A3477A">
      <w:pPr>
        <w:pStyle w:val="Bibliography"/>
        <w:ind w:left="720" w:hanging="720"/>
        <w:rPr>
          <w:noProof/>
        </w:rPr>
      </w:pPr>
      <w:r>
        <w:rPr>
          <w:noProof/>
        </w:rPr>
        <w:lastRenderedPageBreak/>
        <w:t xml:space="preserve">Promontory Financial Group. (2018). </w:t>
      </w:r>
      <w:r>
        <w:rPr>
          <w:i/>
          <w:iCs/>
          <w:noProof/>
        </w:rPr>
        <w:t>Treasury Committee publishes RBS-GRG report.</w:t>
      </w:r>
      <w:r>
        <w:rPr>
          <w:noProof/>
        </w:rPr>
        <w:t xml:space="preserve"> Retrieved from Parliament: https://www.parliament.uk/business/committees/committees-a-z/commons-select/treasury-committee/news-parliament-2017/rbs-global-restructuring-group-s166-report-17-19/</w:t>
      </w:r>
    </w:p>
    <w:p w14:paraId="0B012994" w14:textId="77777777" w:rsidR="00A3477A" w:rsidRDefault="00A3477A" w:rsidP="00A3477A">
      <w:pPr>
        <w:pStyle w:val="Bibliography"/>
        <w:ind w:left="720" w:hanging="720"/>
        <w:rPr>
          <w:noProof/>
        </w:rPr>
      </w:pPr>
      <w:r>
        <w:rPr>
          <w:noProof/>
        </w:rPr>
        <w:t xml:space="preserve">Reinhart, C., &amp; Rogoff, K. (2009). The aftermath of financial crises. </w:t>
      </w:r>
      <w:r>
        <w:rPr>
          <w:i/>
          <w:iCs/>
          <w:noProof/>
        </w:rPr>
        <w:t>American Economic Review 99, no. 2</w:t>
      </w:r>
      <w:r>
        <w:rPr>
          <w:noProof/>
        </w:rPr>
        <w:t>, 466 - 472.</w:t>
      </w:r>
    </w:p>
    <w:p w14:paraId="46A4DC1F" w14:textId="77777777" w:rsidR="00A3477A" w:rsidRDefault="00A3477A" w:rsidP="00A3477A">
      <w:pPr>
        <w:pStyle w:val="Bibliography"/>
        <w:ind w:left="720" w:hanging="720"/>
        <w:rPr>
          <w:noProof/>
        </w:rPr>
      </w:pPr>
      <w:r>
        <w:rPr>
          <w:noProof/>
        </w:rPr>
        <w:t xml:space="preserve">Ryan-Collins, J., Greenham, T., Werner, R. A., &amp; Jackson, A. (2011). </w:t>
      </w:r>
      <w:r>
        <w:rPr>
          <w:i/>
          <w:iCs/>
          <w:noProof/>
        </w:rPr>
        <w:t>Where Does Money Come From? A Guide to the UK Monetary and Banking System.</w:t>
      </w:r>
      <w:r>
        <w:rPr>
          <w:noProof/>
        </w:rPr>
        <w:t xml:space="preserve"> London: New Economics Foundation.</w:t>
      </w:r>
    </w:p>
    <w:p w14:paraId="3D9D646F" w14:textId="77777777" w:rsidR="00A3477A" w:rsidRDefault="00A3477A" w:rsidP="00A3477A">
      <w:pPr>
        <w:pStyle w:val="Bibliography"/>
        <w:ind w:left="720" w:hanging="720"/>
        <w:rPr>
          <w:noProof/>
        </w:rPr>
      </w:pPr>
      <w:r>
        <w:rPr>
          <w:noProof/>
        </w:rPr>
        <w:t xml:space="preserve">Ryan-Collins, J., Lloyd, T., &amp; Macfarlane, L. (2017). </w:t>
      </w:r>
      <w:r>
        <w:rPr>
          <w:i/>
          <w:iCs/>
          <w:noProof/>
        </w:rPr>
        <w:t>Rethinking the Economics of Land and Housing.</w:t>
      </w:r>
      <w:r>
        <w:rPr>
          <w:noProof/>
        </w:rPr>
        <w:t xml:space="preserve"> London: Zed Books Limited.</w:t>
      </w:r>
    </w:p>
    <w:p w14:paraId="5A22C1A0" w14:textId="77777777" w:rsidR="00A3477A" w:rsidRDefault="00A3477A" w:rsidP="00A3477A">
      <w:pPr>
        <w:pStyle w:val="Bibliography"/>
        <w:ind w:left="720" w:hanging="720"/>
        <w:rPr>
          <w:noProof/>
        </w:rPr>
      </w:pPr>
      <w:r>
        <w:rPr>
          <w:noProof/>
        </w:rPr>
        <w:t xml:space="preserve">Starkey, M. (2018). </w:t>
      </w:r>
      <w:r>
        <w:rPr>
          <w:i/>
          <w:iCs/>
          <w:noProof/>
        </w:rPr>
        <w:t>Credit Creation Theory of Banking.</w:t>
      </w:r>
      <w:r>
        <w:rPr>
          <w:noProof/>
        </w:rPr>
        <w:t xml:space="preserve"> Retrieved from The Economics Network: https://www.economicsnetwork.ac.uk/archive/starkey_banking</w:t>
      </w:r>
    </w:p>
    <w:p w14:paraId="026B0606" w14:textId="77777777" w:rsidR="00A3477A" w:rsidRDefault="00A3477A" w:rsidP="00A3477A">
      <w:pPr>
        <w:pStyle w:val="Bibliography"/>
        <w:ind w:left="720" w:hanging="720"/>
        <w:rPr>
          <w:noProof/>
        </w:rPr>
      </w:pPr>
      <w:r>
        <w:rPr>
          <w:noProof/>
        </w:rPr>
        <w:t xml:space="preserve">Turner, A. (2017). </w:t>
      </w:r>
      <w:r>
        <w:rPr>
          <w:i/>
          <w:iCs/>
          <w:noProof/>
        </w:rPr>
        <w:t>Between Debt and the Devil – Money, Credit and Fixing Global Finance.</w:t>
      </w:r>
      <w:r>
        <w:rPr>
          <w:noProof/>
        </w:rPr>
        <w:t xml:space="preserve"> Woodstock: Princeton University Press.</w:t>
      </w:r>
    </w:p>
    <w:p w14:paraId="5ED2C10F" w14:textId="77777777" w:rsidR="00A3477A" w:rsidRDefault="00A3477A" w:rsidP="00A3477A">
      <w:pPr>
        <w:pStyle w:val="Bibliography"/>
        <w:ind w:left="720" w:hanging="720"/>
        <w:rPr>
          <w:noProof/>
        </w:rPr>
      </w:pPr>
      <w:r>
        <w:rPr>
          <w:noProof/>
        </w:rPr>
        <w:t xml:space="preserve">Werner, R. (2012). Towards a new research programme on ‘banking and the economy’ - Implications of the quantity theory of credit for the prevention and resolution of banking and debt crises. </w:t>
      </w:r>
      <w:r>
        <w:rPr>
          <w:i/>
          <w:iCs/>
          <w:noProof/>
        </w:rPr>
        <w:t>International Review of Financial Analysis, 25,</w:t>
      </w:r>
      <w:r>
        <w:rPr>
          <w:noProof/>
        </w:rPr>
        <w:t>, 1-17.</w:t>
      </w:r>
    </w:p>
    <w:p w14:paraId="56455516" w14:textId="77777777" w:rsidR="00A3477A" w:rsidRDefault="00A3477A" w:rsidP="00A3477A">
      <w:pPr>
        <w:pStyle w:val="Bibliography"/>
        <w:ind w:left="720" w:hanging="720"/>
        <w:rPr>
          <w:noProof/>
        </w:rPr>
      </w:pPr>
      <w:r>
        <w:rPr>
          <w:noProof/>
        </w:rPr>
        <w:t xml:space="preserve">Werner, R. A. (1997). Towards a new monetary paradigm: A quantity theorem of disaggregated credit, with evidence from Japan. </w:t>
      </w:r>
      <w:r>
        <w:rPr>
          <w:i/>
          <w:iCs/>
          <w:noProof/>
        </w:rPr>
        <w:t>Kredit und Kapital, vol. 30, no. 2</w:t>
      </w:r>
      <w:r>
        <w:rPr>
          <w:noProof/>
        </w:rPr>
        <w:t>, 276-309.</w:t>
      </w:r>
    </w:p>
    <w:p w14:paraId="3CDE0868" w14:textId="77777777" w:rsidR="00A3477A" w:rsidRDefault="00A3477A" w:rsidP="00A3477A">
      <w:pPr>
        <w:pStyle w:val="Bibliography"/>
        <w:ind w:left="720" w:hanging="720"/>
        <w:rPr>
          <w:noProof/>
        </w:rPr>
      </w:pPr>
      <w:r>
        <w:rPr>
          <w:noProof/>
        </w:rPr>
        <w:t xml:space="preserve">Werner, R. A. (2005). </w:t>
      </w:r>
      <w:r>
        <w:rPr>
          <w:i/>
          <w:iCs/>
          <w:noProof/>
        </w:rPr>
        <w:t>New paradigm in macroeconomics: solving the riddle of Japanese macroeconomic performance.</w:t>
      </w:r>
      <w:r>
        <w:rPr>
          <w:noProof/>
        </w:rPr>
        <w:t xml:space="preserve"> Basingstoke: Palgrave Macmillan.</w:t>
      </w:r>
    </w:p>
    <w:p w14:paraId="2CF54856" w14:textId="77777777" w:rsidR="00A3477A" w:rsidRDefault="00A3477A" w:rsidP="00A3477A">
      <w:pPr>
        <w:pStyle w:val="Bibliography"/>
        <w:ind w:left="720" w:hanging="720"/>
        <w:rPr>
          <w:noProof/>
        </w:rPr>
      </w:pPr>
      <w:r>
        <w:rPr>
          <w:noProof/>
        </w:rPr>
        <w:t xml:space="preserve">Werner, R. A. (2013). Towards a More Stable and Sustainable Financial Architecture – A Discussion and Application of the Quantity Theory of Credit. </w:t>
      </w:r>
      <w:r>
        <w:rPr>
          <w:i/>
          <w:iCs/>
          <w:noProof/>
        </w:rPr>
        <w:t>Credit and Capital Markets, Vol.46, no.3</w:t>
      </w:r>
      <w:r>
        <w:rPr>
          <w:noProof/>
        </w:rPr>
        <w:t>, 357 - 387.</w:t>
      </w:r>
    </w:p>
    <w:p w14:paraId="58E4DAD1" w14:textId="77777777" w:rsidR="00A3477A" w:rsidRDefault="00A3477A" w:rsidP="00A3477A">
      <w:pPr>
        <w:pStyle w:val="Bibliography"/>
        <w:ind w:left="720" w:hanging="720"/>
        <w:rPr>
          <w:noProof/>
        </w:rPr>
      </w:pPr>
      <w:r>
        <w:rPr>
          <w:noProof/>
        </w:rPr>
        <w:t xml:space="preserve">Werner, R. A. (2018). </w:t>
      </w:r>
      <w:r>
        <w:rPr>
          <w:i/>
          <w:iCs/>
          <w:noProof/>
        </w:rPr>
        <w:t>Shifting from Central Planning to a Decentralised Economy: Do we Need Central Banks?</w:t>
      </w:r>
      <w:r>
        <w:rPr>
          <w:noProof/>
        </w:rPr>
        <w:t xml:space="preserve"> Retrieved from Professor Werner: https://professorwerner.org/category/articles-essays/ </w:t>
      </w:r>
    </w:p>
    <w:p w14:paraId="5EAB5A04" w14:textId="77777777" w:rsidR="00A3477A" w:rsidRDefault="00A3477A" w:rsidP="00A3477A"/>
    <w:p w14:paraId="6EA94057" w14:textId="77777777" w:rsidR="00A3477A" w:rsidRDefault="00A3477A" w:rsidP="00A3477A">
      <w:r>
        <w:t xml:space="preserve"> </w:t>
      </w:r>
    </w:p>
    <w:p w14:paraId="487EB6FD" w14:textId="77777777" w:rsidR="00EE0A6A" w:rsidRDefault="0067650C"/>
    <w:sectPr w:rsidR="00EE0A6A">
      <w:footerReference w:type="default" r:id="rId2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336B6" w14:textId="77777777" w:rsidR="0067650C" w:rsidRDefault="0067650C" w:rsidP="00A3477A">
      <w:pPr>
        <w:spacing w:before="0" w:after="0"/>
      </w:pPr>
      <w:r>
        <w:separator/>
      </w:r>
    </w:p>
  </w:endnote>
  <w:endnote w:type="continuationSeparator" w:id="0">
    <w:p w14:paraId="0AE7242C" w14:textId="77777777" w:rsidR="0067650C" w:rsidRDefault="0067650C" w:rsidP="00A3477A">
      <w:pPr>
        <w:spacing w:before="0" w:after="0"/>
      </w:pPr>
      <w:r>
        <w:continuationSeparator/>
      </w:r>
    </w:p>
  </w:endnote>
  <w:endnote w:id="1">
    <w:p w14:paraId="6E16313B" w14:textId="77777777" w:rsidR="00A3477A" w:rsidRDefault="00A3477A" w:rsidP="00A3477A">
      <w:pPr>
        <w:pStyle w:val="EndnoteText"/>
      </w:pPr>
      <w:r>
        <w:rPr>
          <w:rStyle w:val="EndnoteReference"/>
        </w:rPr>
        <w:endnoteRef/>
      </w:r>
      <w:r>
        <w:t xml:space="preserve"> The chart and related data are available within the M4 worksheet, which is contained in the charts and data workbook.</w:t>
      </w:r>
    </w:p>
  </w:endnote>
  <w:endnote w:id="2">
    <w:p w14:paraId="646B865D" w14:textId="77777777" w:rsidR="00A3477A" w:rsidRDefault="00A3477A" w:rsidP="00A3477A">
      <w:pPr>
        <w:pStyle w:val="EndnoteText"/>
      </w:pPr>
      <w:r>
        <w:rPr>
          <w:rStyle w:val="EndnoteReference"/>
        </w:rPr>
        <w:endnoteRef/>
      </w:r>
      <w:r>
        <w:t xml:space="preserve"> </w:t>
      </w:r>
      <w:r w:rsidRPr="007B72C2">
        <w:t xml:space="preserve">The chart and related data are available within the </w:t>
      </w:r>
      <w:r>
        <w:t>‘money supply’</w:t>
      </w:r>
      <w:r w:rsidRPr="007B72C2">
        <w:t xml:space="preserve"> worksheet, which is contained in the charts and data workbook.</w:t>
      </w:r>
    </w:p>
  </w:endnote>
  <w:endnote w:id="3">
    <w:p w14:paraId="0C0E8736" w14:textId="77777777" w:rsidR="00A3477A" w:rsidRDefault="00A3477A" w:rsidP="00A3477A">
      <w:pPr>
        <w:pStyle w:val="EndnoteText"/>
      </w:pPr>
      <w:r>
        <w:rPr>
          <w:rStyle w:val="EndnoteReference"/>
        </w:rPr>
        <w:endnoteRef/>
      </w:r>
      <w:r>
        <w:t xml:space="preserve"> </w:t>
      </w:r>
      <w:bookmarkStart w:id="7" w:name="_Hlk521687224"/>
      <w:r>
        <w:t>The chart and related data are available within the ‘all financial institutions’ worksheet, which is contained in the charts and data workbook.</w:t>
      </w:r>
      <w:bookmarkEnd w:id="7"/>
    </w:p>
    <w:p w14:paraId="2465EBE6" w14:textId="77777777" w:rsidR="00A3477A" w:rsidRDefault="00A3477A" w:rsidP="00A3477A">
      <w:pPr>
        <w:pStyle w:val="EndnoteText"/>
      </w:pPr>
    </w:p>
  </w:endnote>
  <w:endnote w:id="4">
    <w:p w14:paraId="7517A2C1" w14:textId="77777777" w:rsidR="00A3477A" w:rsidRDefault="00A3477A" w:rsidP="00A3477A">
      <w:pPr>
        <w:pStyle w:val="EndnoteText"/>
      </w:pPr>
      <w:r>
        <w:rPr>
          <w:rStyle w:val="EndnoteReference"/>
        </w:rPr>
        <w:endnoteRef/>
      </w:r>
      <w:r>
        <w:t xml:space="preserve"> </w:t>
      </w:r>
      <w:r w:rsidRPr="006B6396">
        <w:t>The chart and related data are available within the ‘all financial institutions’ worksheet, which is contained in the charts and data workbook.</w:t>
      </w:r>
    </w:p>
  </w:endnote>
  <w:endnote w:id="5">
    <w:p w14:paraId="26CBBBE7" w14:textId="77777777" w:rsidR="00A3477A" w:rsidRDefault="00A3477A" w:rsidP="00A3477A">
      <w:pPr>
        <w:pStyle w:val="EndnoteText"/>
      </w:pPr>
      <w:r>
        <w:rPr>
          <w:rStyle w:val="EndnoteReference"/>
        </w:rPr>
        <w:endnoteRef/>
      </w:r>
      <w:r>
        <w:t xml:space="preserve"> </w:t>
      </w:r>
      <w:r w:rsidRPr="006B6396">
        <w:t xml:space="preserve">The chart and related data are available within the </w:t>
      </w:r>
      <w:r>
        <w:t>summary</w:t>
      </w:r>
      <w:r w:rsidRPr="006B6396">
        <w:t xml:space="preserve"> worksheet, which is contained in the charts and data workbook.</w:t>
      </w:r>
    </w:p>
  </w:endnote>
  <w:endnote w:id="6">
    <w:p w14:paraId="70F45512" w14:textId="77777777" w:rsidR="00A3477A" w:rsidRDefault="00A3477A" w:rsidP="00A3477A">
      <w:pPr>
        <w:pStyle w:val="EndnoteText"/>
      </w:pPr>
      <w:r>
        <w:rPr>
          <w:rStyle w:val="EndnoteReference"/>
        </w:rPr>
        <w:endnoteRef/>
      </w:r>
      <w:r>
        <w:t xml:space="preserve"> </w:t>
      </w:r>
      <w:r w:rsidRPr="006B6396">
        <w:t>The chart and related data are available within the ‘all financial institutions’ worksheet, which is contained in the charts and data workbook.</w:t>
      </w:r>
    </w:p>
  </w:endnote>
  <w:endnote w:id="7">
    <w:p w14:paraId="687090AB" w14:textId="77777777" w:rsidR="00A3477A" w:rsidRDefault="00A3477A" w:rsidP="00A3477A">
      <w:pPr>
        <w:pStyle w:val="EndnoteText"/>
      </w:pPr>
      <w:r>
        <w:rPr>
          <w:rStyle w:val="EndnoteReference"/>
        </w:rPr>
        <w:endnoteRef/>
      </w:r>
      <w:r>
        <w:t xml:space="preserve"> The chart and related data are available within the ‘all financial institutions’ worksheet, which is contained in the charts and data workbook.</w:t>
      </w:r>
    </w:p>
  </w:endnote>
  <w:endnote w:id="8">
    <w:p w14:paraId="416AD726" w14:textId="77777777" w:rsidR="00A3477A" w:rsidRDefault="00A3477A" w:rsidP="00A3477A">
      <w:pPr>
        <w:pStyle w:val="EndnoteText"/>
      </w:pPr>
      <w:r>
        <w:rPr>
          <w:rStyle w:val="EndnoteReference"/>
        </w:rPr>
        <w:endnoteRef/>
      </w:r>
      <w:r>
        <w:t xml:space="preserve"> Please see cell AA51 in the house prices worksheet, which is contained in the charts and data workbook.</w:t>
      </w:r>
    </w:p>
  </w:endnote>
  <w:endnote w:id="9">
    <w:p w14:paraId="3ACC9D47" w14:textId="77777777" w:rsidR="00A3477A" w:rsidRDefault="00A3477A" w:rsidP="00A3477A">
      <w:pPr>
        <w:pStyle w:val="EndnoteText"/>
      </w:pPr>
      <w:r>
        <w:rPr>
          <w:rStyle w:val="EndnoteReference"/>
        </w:rPr>
        <w:endnoteRef/>
      </w:r>
      <w:r>
        <w:t xml:space="preserve"> </w:t>
      </w:r>
      <w:r w:rsidRPr="006B6396">
        <w:t>The chart and related data are available within the ‘</w:t>
      </w:r>
      <w:r>
        <w:t>house price</w:t>
      </w:r>
      <w:r w:rsidRPr="006B6396">
        <w:t>s’ worksheet, which is contained in the charts and data workbook.</w:t>
      </w:r>
    </w:p>
  </w:endnote>
  <w:endnote w:id="10">
    <w:p w14:paraId="4D448117" w14:textId="77777777" w:rsidR="00A3477A" w:rsidRDefault="00A3477A" w:rsidP="00A3477A">
      <w:pPr>
        <w:pStyle w:val="EndnoteText"/>
      </w:pPr>
      <w:r>
        <w:rPr>
          <w:rStyle w:val="EndnoteReference"/>
        </w:rPr>
        <w:endnoteRef/>
      </w:r>
      <w:r>
        <w:t xml:space="preserve"> </w:t>
      </w:r>
      <w:r w:rsidRPr="00054708">
        <w:t>The chart and related data are available within the ‘</w:t>
      </w:r>
      <w:r>
        <w:t>house price</w:t>
      </w:r>
      <w:r w:rsidRPr="00054708">
        <w:t>s’ worksheet, which is contained in the charts and data workbook.</w:t>
      </w:r>
    </w:p>
  </w:endnote>
  <w:endnote w:id="11">
    <w:p w14:paraId="63DA4F95" w14:textId="77777777" w:rsidR="00DB3770" w:rsidRDefault="00DB3770" w:rsidP="00DB3770">
      <w:pPr>
        <w:pStyle w:val="EndnoteText"/>
      </w:pPr>
      <w:r>
        <w:rPr>
          <w:rStyle w:val="EndnoteReference"/>
        </w:rPr>
        <w:endnoteRef/>
      </w:r>
      <w:r>
        <w:t xml:space="preserve"> </w:t>
      </w:r>
      <w:r w:rsidRPr="007E15FC">
        <w:t>Japanese monetary authorities operated a system of quantitative and qualitative credit controls during the post-war period, which Richard Werner refers to as 'window guidance' (Werner R. A., 2005, p. 269).  Effective control and direction of credit by the monetary authorities supported rapid Japanese economic development during the 1950s, 1960s and 1970s. Credit controls should be developed with the aim of achieving specific economic growth targets. However, Japanese 'window guidance' from the mid-1980s allowed rapid credit expansion, and did not restrict lending for speculative purposes, which has since caused serious economic problems in Japan.  Therefore, it is not sufficient simply to have credit controls in place.  Credit controls implemented by the monetary authorities must aim to avoid excessive credit creation by the banking system, and limit the amount of credit being directed towards the purchase of speculative assets.</w:t>
      </w:r>
    </w:p>
  </w:endnote>
  <w:endnote w:id="12">
    <w:p w14:paraId="5B0B9547" w14:textId="77777777" w:rsidR="00A3477A" w:rsidRDefault="00A3477A" w:rsidP="00A3477A">
      <w:pPr>
        <w:pStyle w:val="EndnoteText"/>
      </w:pPr>
      <w:r>
        <w:rPr>
          <w:rStyle w:val="EndnoteReference"/>
        </w:rPr>
        <w:endnoteRef/>
      </w:r>
      <w:r>
        <w:t xml:space="preserve"> </w:t>
      </w:r>
      <w:r w:rsidRPr="006B6396">
        <w:t>The chart and related data are available within the ‘all financial institutions’ worksheet, which is contained in the charts and data workbook.</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7874108"/>
      <w:docPartObj>
        <w:docPartGallery w:val="Page Numbers (Bottom of Page)"/>
        <w:docPartUnique/>
      </w:docPartObj>
    </w:sdtPr>
    <w:sdtEndPr>
      <w:rPr>
        <w:noProof/>
      </w:rPr>
    </w:sdtEndPr>
    <w:sdtContent>
      <w:p w14:paraId="1180301D" w14:textId="2A53B107" w:rsidR="00837048" w:rsidRDefault="00837048">
        <w:pPr>
          <w:pStyle w:val="Footer"/>
          <w:jc w:val="right"/>
        </w:pPr>
        <w:r>
          <w:t xml:space="preserve">Page </w:t>
        </w:r>
        <w:r>
          <w:fldChar w:fldCharType="begin"/>
        </w:r>
        <w:r>
          <w:instrText xml:space="preserve"> PAGE   \* MERGEFORMAT </w:instrText>
        </w:r>
        <w:r>
          <w:fldChar w:fldCharType="separate"/>
        </w:r>
        <w:r>
          <w:rPr>
            <w:noProof/>
          </w:rPr>
          <w:t>2</w:t>
        </w:r>
        <w:r>
          <w:rPr>
            <w:noProof/>
          </w:rPr>
          <w:fldChar w:fldCharType="end"/>
        </w:r>
      </w:p>
    </w:sdtContent>
  </w:sdt>
  <w:p w14:paraId="08D18C21" w14:textId="77777777" w:rsidR="00837048" w:rsidRDefault="0083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3805A" w14:textId="77777777" w:rsidR="0067650C" w:rsidRDefault="0067650C" w:rsidP="00A3477A">
      <w:pPr>
        <w:spacing w:before="0" w:after="0"/>
      </w:pPr>
      <w:r>
        <w:separator/>
      </w:r>
    </w:p>
  </w:footnote>
  <w:footnote w:type="continuationSeparator" w:id="0">
    <w:p w14:paraId="779C3EC1" w14:textId="77777777" w:rsidR="0067650C" w:rsidRDefault="0067650C" w:rsidP="00A3477A">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025"/>
    <w:multiLevelType w:val="hybridMultilevel"/>
    <w:tmpl w:val="70446FF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77A"/>
    <w:rsid w:val="0001730D"/>
    <w:rsid w:val="000F616F"/>
    <w:rsid w:val="0019210B"/>
    <w:rsid w:val="00206DCD"/>
    <w:rsid w:val="00222454"/>
    <w:rsid w:val="003724B6"/>
    <w:rsid w:val="00410182"/>
    <w:rsid w:val="0055274F"/>
    <w:rsid w:val="00642060"/>
    <w:rsid w:val="006619D6"/>
    <w:rsid w:val="0067650C"/>
    <w:rsid w:val="006F1809"/>
    <w:rsid w:val="0077607D"/>
    <w:rsid w:val="007A3D07"/>
    <w:rsid w:val="00837048"/>
    <w:rsid w:val="008665C0"/>
    <w:rsid w:val="00902D33"/>
    <w:rsid w:val="009756D8"/>
    <w:rsid w:val="00A3477A"/>
    <w:rsid w:val="00AC708C"/>
    <w:rsid w:val="00C9188A"/>
    <w:rsid w:val="00DB3770"/>
    <w:rsid w:val="00E41C99"/>
    <w:rsid w:val="00E906C7"/>
    <w:rsid w:val="00EB10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B2D0D"/>
  <w15:chartTrackingRefBased/>
  <w15:docId w15:val="{092C86CB-BA18-4CAC-8421-4D67549D4D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477A"/>
    <w:pPr>
      <w:spacing w:before="120" w:after="120" w:line="240" w:lineRule="auto"/>
      <w:jc w:val="both"/>
    </w:pPr>
    <w:rPr>
      <w:rFonts w:ascii="Arial" w:eastAsia="Times New Roman" w:hAnsi="Arial" w:cs="Times New Roman"/>
      <w:szCs w:val="24"/>
    </w:rPr>
  </w:style>
  <w:style w:type="paragraph" w:styleId="Heading1">
    <w:name w:val="heading 1"/>
    <w:basedOn w:val="Normal"/>
    <w:next w:val="Normal"/>
    <w:link w:val="Heading1Char"/>
    <w:uiPriority w:val="9"/>
    <w:qFormat/>
    <w:rsid w:val="00A3477A"/>
    <w:pPr>
      <w:keepNext/>
      <w:spacing w:before="240" w:after="60"/>
      <w:outlineLvl w:val="0"/>
    </w:pPr>
    <w:rPr>
      <w:rFonts w:eastAsia="SimSun" w:cs="Arial"/>
      <w:b/>
      <w:bCs/>
      <w:kern w:val="32"/>
      <w:sz w:val="32"/>
      <w:szCs w:val="32"/>
    </w:rPr>
  </w:style>
  <w:style w:type="paragraph" w:styleId="Heading2">
    <w:name w:val="heading 2"/>
    <w:basedOn w:val="Normal"/>
    <w:next w:val="Normal"/>
    <w:link w:val="Heading2Char1"/>
    <w:uiPriority w:val="9"/>
    <w:qFormat/>
    <w:rsid w:val="00A3477A"/>
    <w:pPr>
      <w:keepNext/>
      <w:spacing w:before="240" w:after="60"/>
      <w:outlineLvl w:val="1"/>
    </w:pPr>
    <w:rPr>
      <w:rFonts w:eastAsia="SimSun" w:cs="Arial"/>
      <w:b/>
      <w:bCs/>
      <w:i/>
      <w:iCs/>
      <w:sz w:val="28"/>
      <w:szCs w:val="28"/>
    </w:rPr>
  </w:style>
  <w:style w:type="paragraph" w:styleId="Heading3">
    <w:name w:val="heading 3"/>
    <w:basedOn w:val="Normal"/>
    <w:next w:val="Normal"/>
    <w:link w:val="Heading3Char"/>
    <w:uiPriority w:val="9"/>
    <w:qFormat/>
    <w:rsid w:val="00A3477A"/>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477A"/>
    <w:rPr>
      <w:rFonts w:ascii="Arial" w:eastAsia="SimSun" w:hAnsi="Arial" w:cs="Arial"/>
      <w:b/>
      <w:bCs/>
      <w:kern w:val="32"/>
      <w:sz w:val="32"/>
      <w:szCs w:val="32"/>
    </w:rPr>
  </w:style>
  <w:style w:type="character" w:customStyle="1" w:styleId="Heading2Char">
    <w:name w:val="Heading 2 Char"/>
    <w:basedOn w:val="DefaultParagraphFont"/>
    <w:uiPriority w:val="9"/>
    <w:semiHidden/>
    <w:rsid w:val="00A3477A"/>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A3477A"/>
    <w:rPr>
      <w:rFonts w:ascii="Arial" w:eastAsia="Times New Roman" w:hAnsi="Arial" w:cs="Arial"/>
      <w:b/>
      <w:bCs/>
      <w:sz w:val="26"/>
      <w:szCs w:val="26"/>
    </w:rPr>
  </w:style>
  <w:style w:type="paragraph" w:styleId="Bibliography">
    <w:name w:val="Bibliography"/>
    <w:basedOn w:val="Normal"/>
    <w:next w:val="Normal"/>
    <w:uiPriority w:val="37"/>
    <w:semiHidden/>
    <w:unhideWhenUsed/>
    <w:rsid w:val="00A3477A"/>
  </w:style>
  <w:style w:type="character" w:customStyle="1" w:styleId="Heading2Char1">
    <w:name w:val="Heading 2 Char1"/>
    <w:link w:val="Heading2"/>
    <w:uiPriority w:val="9"/>
    <w:rsid w:val="00A3477A"/>
    <w:rPr>
      <w:rFonts w:ascii="Arial" w:eastAsia="SimSun" w:hAnsi="Arial" w:cs="Arial"/>
      <w:b/>
      <w:bCs/>
      <w:i/>
      <w:iCs/>
      <w:sz w:val="28"/>
      <w:szCs w:val="28"/>
    </w:rPr>
  </w:style>
  <w:style w:type="paragraph" w:styleId="NormalWeb">
    <w:name w:val="Normal (Web)"/>
    <w:basedOn w:val="Normal"/>
    <w:uiPriority w:val="99"/>
    <w:rsid w:val="00A3477A"/>
    <w:pPr>
      <w:spacing w:before="100" w:beforeAutospacing="1" w:after="100" w:afterAutospacing="1"/>
    </w:pPr>
    <w:rPr>
      <w:lang w:val="en-US"/>
    </w:rPr>
  </w:style>
  <w:style w:type="paragraph" w:styleId="Caption">
    <w:name w:val="caption"/>
    <w:basedOn w:val="Normal"/>
    <w:next w:val="Normal"/>
    <w:uiPriority w:val="35"/>
    <w:qFormat/>
    <w:rsid w:val="00A3477A"/>
    <w:pPr>
      <w:jc w:val="center"/>
    </w:pPr>
    <w:rPr>
      <w:b/>
      <w:sz w:val="20"/>
      <w:szCs w:val="20"/>
    </w:rPr>
  </w:style>
  <w:style w:type="paragraph" w:styleId="EndnoteText">
    <w:name w:val="endnote text"/>
    <w:basedOn w:val="Normal"/>
    <w:link w:val="EndnoteTextChar"/>
    <w:uiPriority w:val="99"/>
    <w:unhideWhenUsed/>
    <w:rsid w:val="00A3477A"/>
    <w:pPr>
      <w:spacing w:before="0" w:after="0"/>
    </w:pPr>
    <w:rPr>
      <w:rFonts w:ascii="Calibri" w:eastAsia="Calibri" w:hAnsi="Calibri" w:cs="Arial"/>
      <w:sz w:val="20"/>
      <w:szCs w:val="20"/>
    </w:rPr>
  </w:style>
  <w:style w:type="character" w:customStyle="1" w:styleId="EndnoteTextChar">
    <w:name w:val="Endnote Text Char"/>
    <w:basedOn w:val="DefaultParagraphFont"/>
    <w:link w:val="EndnoteText"/>
    <w:uiPriority w:val="99"/>
    <w:rsid w:val="00A3477A"/>
    <w:rPr>
      <w:rFonts w:ascii="Calibri" w:eastAsia="Calibri" w:hAnsi="Calibri" w:cs="Arial"/>
      <w:sz w:val="20"/>
      <w:szCs w:val="20"/>
    </w:rPr>
  </w:style>
  <w:style w:type="character" w:styleId="EndnoteReference">
    <w:name w:val="endnote reference"/>
    <w:uiPriority w:val="99"/>
    <w:unhideWhenUsed/>
    <w:rsid w:val="00A3477A"/>
    <w:rPr>
      <w:vertAlign w:val="superscript"/>
    </w:rPr>
  </w:style>
  <w:style w:type="paragraph" w:styleId="Header">
    <w:name w:val="header"/>
    <w:basedOn w:val="Normal"/>
    <w:link w:val="HeaderChar"/>
    <w:uiPriority w:val="99"/>
    <w:unhideWhenUsed/>
    <w:rsid w:val="00837048"/>
    <w:pPr>
      <w:tabs>
        <w:tab w:val="center" w:pos="4513"/>
        <w:tab w:val="right" w:pos="9026"/>
      </w:tabs>
      <w:spacing w:before="0" w:after="0"/>
    </w:pPr>
  </w:style>
  <w:style w:type="character" w:customStyle="1" w:styleId="HeaderChar">
    <w:name w:val="Header Char"/>
    <w:basedOn w:val="DefaultParagraphFont"/>
    <w:link w:val="Header"/>
    <w:uiPriority w:val="99"/>
    <w:rsid w:val="00837048"/>
    <w:rPr>
      <w:rFonts w:ascii="Arial" w:eastAsia="Times New Roman" w:hAnsi="Arial" w:cs="Times New Roman"/>
      <w:szCs w:val="24"/>
    </w:rPr>
  </w:style>
  <w:style w:type="paragraph" w:styleId="Footer">
    <w:name w:val="footer"/>
    <w:basedOn w:val="Normal"/>
    <w:link w:val="FooterChar"/>
    <w:uiPriority w:val="99"/>
    <w:unhideWhenUsed/>
    <w:rsid w:val="00837048"/>
    <w:pPr>
      <w:tabs>
        <w:tab w:val="center" w:pos="4513"/>
        <w:tab w:val="right" w:pos="9026"/>
      </w:tabs>
      <w:spacing w:before="0" w:after="0"/>
    </w:pPr>
  </w:style>
  <w:style w:type="character" w:customStyle="1" w:styleId="FooterChar">
    <w:name w:val="Footer Char"/>
    <w:basedOn w:val="DefaultParagraphFont"/>
    <w:link w:val="Footer"/>
    <w:uiPriority w:val="99"/>
    <w:rsid w:val="00837048"/>
    <w:rPr>
      <w:rFonts w:ascii="Arial" w:eastAsia="Times New Roman" w:hAnsi="Arial"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oleObject" Target="file:///C:\Users\Maurice\Documents\Strategy%20Maps\Charts%20and%20Data.xlsx" TargetMode="External"/><Relationship Id="rId1" Type="http://schemas.openxmlformats.org/officeDocument/2006/relationships/themeOverride" Target="../theme/themeOverride10.xml"/></Relationships>
</file>

<file path=word/charts/_rels/chart11.xml.rels><?xml version="1.0" encoding="UTF-8" standalone="yes"?>
<Relationships xmlns="http://schemas.openxmlformats.org/package/2006/relationships"><Relationship Id="rId2" Type="http://schemas.openxmlformats.org/officeDocument/2006/relationships/oleObject" Target="file:///C:\Users\Maurice\Documents\Strategy%20Maps\Charts%20and%20Data.xlsx" TargetMode="External"/><Relationship Id="rId1" Type="http://schemas.openxmlformats.org/officeDocument/2006/relationships/themeOverride" Target="../theme/themeOverride11.xml"/></Relationships>
</file>

<file path=word/charts/_rels/chart12.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12.xml"/></Relationships>
</file>

<file path=word/charts/_rels/chart2.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8.xml"/></Relationships>
</file>

<file path=word/charts/_rels/chart9.xml.rels><?xml version="1.0" encoding="UTF-8" standalone="yes"?>
<Relationships xmlns="http://schemas.openxmlformats.org/package/2006/relationships"><Relationship Id="rId2" Type="http://schemas.openxmlformats.org/officeDocument/2006/relationships/oleObject" Target="file:///C:\Users\Maurice\Documents\Strategy%20Maps\BofE%20Net%20Lending%20data.xlsx" TargetMode="External"/><Relationship Id="rId1" Type="http://schemas.openxmlformats.org/officeDocument/2006/relationships/themeOverride" Target="../theme/themeOverrid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'M4'!$B$1:$B$2</c:f>
              <c:strCache>
                <c:ptCount val="2"/>
                <c:pt idx="0">
                  <c:v>M4: Quarterly amounts outstanding of M4 (monetary financial institutions' sterling M4 liabilities to private sector) (£ millions) seasonally adjusted</c:v>
                </c:pt>
                <c:pt idx="1">
                  <c:v>LPQAUYN</c:v>
                </c:pt>
              </c:strCache>
            </c:strRef>
          </c:tx>
          <c:spPr>
            <a:ln w="28575" cap="rnd">
              <a:solidFill>
                <a:srgbClr val="FF0000"/>
              </a:solidFill>
              <a:round/>
            </a:ln>
            <a:effectLst/>
          </c:spPr>
          <c:marker>
            <c:symbol val="none"/>
          </c:marker>
          <c:cat>
            <c:numRef>
              <c:f>'M4'!$A$71:$A$223</c:f>
              <c:numCache>
                <c:formatCode>d\-mmm\-yy</c:formatCode>
                <c:ptCount val="153"/>
                <c:pt idx="0">
                  <c:v>29311</c:v>
                </c:pt>
                <c:pt idx="1">
                  <c:v>29402</c:v>
                </c:pt>
                <c:pt idx="2">
                  <c:v>29494</c:v>
                </c:pt>
                <c:pt idx="3">
                  <c:v>29586</c:v>
                </c:pt>
                <c:pt idx="4">
                  <c:v>29676</c:v>
                </c:pt>
                <c:pt idx="5">
                  <c:v>29767</c:v>
                </c:pt>
                <c:pt idx="6">
                  <c:v>29859</c:v>
                </c:pt>
                <c:pt idx="7">
                  <c:v>29951</c:v>
                </c:pt>
                <c:pt idx="8">
                  <c:v>30041</c:v>
                </c:pt>
                <c:pt idx="9">
                  <c:v>30132</c:v>
                </c:pt>
                <c:pt idx="10">
                  <c:v>30224</c:v>
                </c:pt>
                <c:pt idx="11">
                  <c:v>30316</c:v>
                </c:pt>
                <c:pt idx="12">
                  <c:v>30406</c:v>
                </c:pt>
                <c:pt idx="13">
                  <c:v>30497</c:v>
                </c:pt>
                <c:pt idx="14">
                  <c:v>30589</c:v>
                </c:pt>
                <c:pt idx="15">
                  <c:v>30681</c:v>
                </c:pt>
                <c:pt idx="16">
                  <c:v>30772</c:v>
                </c:pt>
                <c:pt idx="17">
                  <c:v>30863</c:v>
                </c:pt>
                <c:pt idx="18">
                  <c:v>30955</c:v>
                </c:pt>
                <c:pt idx="19">
                  <c:v>31047</c:v>
                </c:pt>
                <c:pt idx="20">
                  <c:v>31137</c:v>
                </c:pt>
                <c:pt idx="21">
                  <c:v>31228</c:v>
                </c:pt>
                <c:pt idx="22">
                  <c:v>31320</c:v>
                </c:pt>
                <c:pt idx="23">
                  <c:v>31412</c:v>
                </c:pt>
                <c:pt idx="24">
                  <c:v>31502</c:v>
                </c:pt>
                <c:pt idx="25">
                  <c:v>31593</c:v>
                </c:pt>
                <c:pt idx="26">
                  <c:v>31685</c:v>
                </c:pt>
                <c:pt idx="27">
                  <c:v>31777</c:v>
                </c:pt>
                <c:pt idx="28">
                  <c:v>31867</c:v>
                </c:pt>
                <c:pt idx="29">
                  <c:v>31958</c:v>
                </c:pt>
                <c:pt idx="30">
                  <c:v>32050</c:v>
                </c:pt>
                <c:pt idx="31">
                  <c:v>32142</c:v>
                </c:pt>
                <c:pt idx="32">
                  <c:v>32233</c:v>
                </c:pt>
                <c:pt idx="33">
                  <c:v>32324</c:v>
                </c:pt>
                <c:pt idx="34">
                  <c:v>32416</c:v>
                </c:pt>
                <c:pt idx="35">
                  <c:v>32508</c:v>
                </c:pt>
                <c:pt idx="36">
                  <c:v>32598</c:v>
                </c:pt>
                <c:pt idx="37">
                  <c:v>32689</c:v>
                </c:pt>
                <c:pt idx="38">
                  <c:v>32781</c:v>
                </c:pt>
                <c:pt idx="39">
                  <c:v>32873</c:v>
                </c:pt>
                <c:pt idx="40">
                  <c:v>32963</c:v>
                </c:pt>
                <c:pt idx="41">
                  <c:v>33054</c:v>
                </c:pt>
                <c:pt idx="42">
                  <c:v>33146</c:v>
                </c:pt>
                <c:pt idx="43">
                  <c:v>33238</c:v>
                </c:pt>
                <c:pt idx="44">
                  <c:v>33328</c:v>
                </c:pt>
                <c:pt idx="45">
                  <c:v>33419</c:v>
                </c:pt>
                <c:pt idx="46">
                  <c:v>33511</c:v>
                </c:pt>
                <c:pt idx="47">
                  <c:v>33603</c:v>
                </c:pt>
                <c:pt idx="48">
                  <c:v>33694</c:v>
                </c:pt>
                <c:pt idx="49">
                  <c:v>33785</c:v>
                </c:pt>
                <c:pt idx="50">
                  <c:v>33877</c:v>
                </c:pt>
                <c:pt idx="51">
                  <c:v>33969</c:v>
                </c:pt>
                <c:pt idx="52">
                  <c:v>34059</c:v>
                </c:pt>
                <c:pt idx="53">
                  <c:v>34150</c:v>
                </c:pt>
                <c:pt idx="54">
                  <c:v>34242</c:v>
                </c:pt>
                <c:pt idx="55">
                  <c:v>34334</c:v>
                </c:pt>
                <c:pt idx="56">
                  <c:v>34424</c:v>
                </c:pt>
                <c:pt idx="57">
                  <c:v>34515</c:v>
                </c:pt>
                <c:pt idx="58">
                  <c:v>34607</c:v>
                </c:pt>
                <c:pt idx="59">
                  <c:v>34699</c:v>
                </c:pt>
                <c:pt idx="60">
                  <c:v>34789</c:v>
                </c:pt>
                <c:pt idx="61">
                  <c:v>34880</c:v>
                </c:pt>
                <c:pt idx="62">
                  <c:v>34972</c:v>
                </c:pt>
                <c:pt idx="63">
                  <c:v>35064</c:v>
                </c:pt>
                <c:pt idx="64">
                  <c:v>35155</c:v>
                </c:pt>
                <c:pt idx="65">
                  <c:v>35246</c:v>
                </c:pt>
                <c:pt idx="66">
                  <c:v>35338</c:v>
                </c:pt>
                <c:pt idx="67">
                  <c:v>35430</c:v>
                </c:pt>
                <c:pt idx="68">
                  <c:v>35520</c:v>
                </c:pt>
                <c:pt idx="69">
                  <c:v>35611</c:v>
                </c:pt>
                <c:pt idx="70">
                  <c:v>35703</c:v>
                </c:pt>
                <c:pt idx="71">
                  <c:v>35795</c:v>
                </c:pt>
                <c:pt idx="72">
                  <c:v>35885</c:v>
                </c:pt>
                <c:pt idx="73">
                  <c:v>35976</c:v>
                </c:pt>
                <c:pt idx="74">
                  <c:v>36068</c:v>
                </c:pt>
                <c:pt idx="75">
                  <c:v>36160</c:v>
                </c:pt>
                <c:pt idx="76">
                  <c:v>36250</c:v>
                </c:pt>
                <c:pt idx="77">
                  <c:v>36341</c:v>
                </c:pt>
                <c:pt idx="78">
                  <c:v>36433</c:v>
                </c:pt>
                <c:pt idx="79">
                  <c:v>36525</c:v>
                </c:pt>
                <c:pt idx="80">
                  <c:v>36616</c:v>
                </c:pt>
                <c:pt idx="81">
                  <c:v>36707</c:v>
                </c:pt>
                <c:pt idx="82">
                  <c:v>36799</c:v>
                </c:pt>
                <c:pt idx="83">
                  <c:v>36891</c:v>
                </c:pt>
                <c:pt idx="84">
                  <c:v>36981</c:v>
                </c:pt>
                <c:pt idx="85">
                  <c:v>37072</c:v>
                </c:pt>
                <c:pt idx="86">
                  <c:v>37164</c:v>
                </c:pt>
                <c:pt idx="87">
                  <c:v>37256</c:v>
                </c:pt>
                <c:pt idx="88">
                  <c:v>37346</c:v>
                </c:pt>
                <c:pt idx="89">
                  <c:v>37437</c:v>
                </c:pt>
                <c:pt idx="90">
                  <c:v>37529</c:v>
                </c:pt>
                <c:pt idx="91">
                  <c:v>37621</c:v>
                </c:pt>
                <c:pt idx="92">
                  <c:v>37711</c:v>
                </c:pt>
                <c:pt idx="93">
                  <c:v>37802</c:v>
                </c:pt>
                <c:pt idx="94">
                  <c:v>37894</c:v>
                </c:pt>
                <c:pt idx="95">
                  <c:v>37986</c:v>
                </c:pt>
                <c:pt idx="96">
                  <c:v>38077</c:v>
                </c:pt>
                <c:pt idx="97">
                  <c:v>38168</c:v>
                </c:pt>
                <c:pt idx="98">
                  <c:v>38260</c:v>
                </c:pt>
                <c:pt idx="99">
                  <c:v>38352</c:v>
                </c:pt>
                <c:pt idx="100">
                  <c:v>38442</c:v>
                </c:pt>
                <c:pt idx="101">
                  <c:v>38533</c:v>
                </c:pt>
                <c:pt idx="102">
                  <c:v>38625</c:v>
                </c:pt>
                <c:pt idx="103">
                  <c:v>38717</c:v>
                </c:pt>
                <c:pt idx="104">
                  <c:v>38807</c:v>
                </c:pt>
                <c:pt idx="105">
                  <c:v>38898</c:v>
                </c:pt>
                <c:pt idx="106">
                  <c:v>38990</c:v>
                </c:pt>
                <c:pt idx="107">
                  <c:v>39082</c:v>
                </c:pt>
                <c:pt idx="108">
                  <c:v>39172</c:v>
                </c:pt>
                <c:pt idx="109">
                  <c:v>39263</c:v>
                </c:pt>
                <c:pt idx="110">
                  <c:v>39355</c:v>
                </c:pt>
                <c:pt idx="111">
                  <c:v>39447</c:v>
                </c:pt>
                <c:pt idx="112">
                  <c:v>39538</c:v>
                </c:pt>
                <c:pt idx="113">
                  <c:v>39629</c:v>
                </c:pt>
                <c:pt idx="114">
                  <c:v>39721</c:v>
                </c:pt>
                <c:pt idx="115">
                  <c:v>39813</c:v>
                </c:pt>
                <c:pt idx="116">
                  <c:v>39903</c:v>
                </c:pt>
                <c:pt idx="117">
                  <c:v>39994</c:v>
                </c:pt>
                <c:pt idx="118">
                  <c:v>40086</c:v>
                </c:pt>
                <c:pt idx="119">
                  <c:v>40178</c:v>
                </c:pt>
                <c:pt idx="120">
                  <c:v>40268</c:v>
                </c:pt>
                <c:pt idx="121">
                  <c:v>40359</c:v>
                </c:pt>
                <c:pt idx="122">
                  <c:v>40451</c:v>
                </c:pt>
                <c:pt idx="123">
                  <c:v>40543</c:v>
                </c:pt>
                <c:pt idx="124">
                  <c:v>40633</c:v>
                </c:pt>
                <c:pt idx="125">
                  <c:v>40724</c:v>
                </c:pt>
                <c:pt idx="126">
                  <c:v>40816</c:v>
                </c:pt>
                <c:pt idx="127">
                  <c:v>40908</c:v>
                </c:pt>
                <c:pt idx="128">
                  <c:v>40999</c:v>
                </c:pt>
                <c:pt idx="129">
                  <c:v>41090</c:v>
                </c:pt>
                <c:pt idx="130">
                  <c:v>41182</c:v>
                </c:pt>
                <c:pt idx="131">
                  <c:v>41274</c:v>
                </c:pt>
                <c:pt idx="132">
                  <c:v>41364</c:v>
                </c:pt>
                <c:pt idx="133">
                  <c:v>41455</c:v>
                </c:pt>
                <c:pt idx="134">
                  <c:v>41547</c:v>
                </c:pt>
                <c:pt idx="135">
                  <c:v>41639</c:v>
                </c:pt>
                <c:pt idx="136">
                  <c:v>41729</c:v>
                </c:pt>
                <c:pt idx="137">
                  <c:v>41820</c:v>
                </c:pt>
                <c:pt idx="138">
                  <c:v>41912</c:v>
                </c:pt>
                <c:pt idx="139">
                  <c:v>42004</c:v>
                </c:pt>
                <c:pt idx="140">
                  <c:v>42094</c:v>
                </c:pt>
                <c:pt idx="141">
                  <c:v>42185</c:v>
                </c:pt>
                <c:pt idx="142">
                  <c:v>42277</c:v>
                </c:pt>
                <c:pt idx="143">
                  <c:v>42369</c:v>
                </c:pt>
                <c:pt idx="144">
                  <c:v>42460</c:v>
                </c:pt>
                <c:pt idx="145">
                  <c:v>42551</c:v>
                </c:pt>
                <c:pt idx="146">
                  <c:v>42643</c:v>
                </c:pt>
                <c:pt idx="147">
                  <c:v>42735</c:v>
                </c:pt>
                <c:pt idx="148">
                  <c:v>42825</c:v>
                </c:pt>
                <c:pt idx="149">
                  <c:v>42916</c:v>
                </c:pt>
                <c:pt idx="150">
                  <c:v>43008</c:v>
                </c:pt>
                <c:pt idx="151">
                  <c:v>43100</c:v>
                </c:pt>
                <c:pt idx="152">
                  <c:v>43190</c:v>
                </c:pt>
              </c:numCache>
            </c:numRef>
          </c:cat>
          <c:val>
            <c:numRef>
              <c:f>'M4'!$B$71:$B$223</c:f>
              <c:numCache>
                <c:formatCode>"£"#,##0;[Red]"£"#,##0</c:formatCode>
                <c:ptCount val="153"/>
                <c:pt idx="0">
                  <c:v>100201</c:v>
                </c:pt>
                <c:pt idx="1">
                  <c:v>104853</c:v>
                </c:pt>
                <c:pt idx="2">
                  <c:v>109076</c:v>
                </c:pt>
                <c:pt idx="3">
                  <c:v>114324</c:v>
                </c:pt>
                <c:pt idx="4">
                  <c:v>117566</c:v>
                </c:pt>
                <c:pt idx="5">
                  <c:v>122606</c:v>
                </c:pt>
                <c:pt idx="6">
                  <c:v>127122</c:v>
                </c:pt>
                <c:pt idx="7">
                  <c:v>137846</c:v>
                </c:pt>
                <c:pt idx="8">
                  <c:v>141382</c:v>
                </c:pt>
                <c:pt idx="9">
                  <c:v>145380</c:v>
                </c:pt>
                <c:pt idx="10">
                  <c:v>149711</c:v>
                </c:pt>
                <c:pt idx="11">
                  <c:v>153874</c:v>
                </c:pt>
                <c:pt idx="12">
                  <c:v>161333</c:v>
                </c:pt>
                <c:pt idx="13">
                  <c:v>165974</c:v>
                </c:pt>
                <c:pt idx="14">
                  <c:v>169488</c:v>
                </c:pt>
                <c:pt idx="15">
                  <c:v>174297</c:v>
                </c:pt>
                <c:pt idx="16">
                  <c:v>179936</c:v>
                </c:pt>
                <c:pt idx="17">
                  <c:v>186653</c:v>
                </c:pt>
                <c:pt idx="18">
                  <c:v>191659</c:v>
                </c:pt>
                <c:pt idx="19">
                  <c:v>198091</c:v>
                </c:pt>
                <c:pt idx="20">
                  <c:v>205083</c:v>
                </c:pt>
                <c:pt idx="21">
                  <c:v>211037</c:v>
                </c:pt>
                <c:pt idx="22">
                  <c:v>217691</c:v>
                </c:pt>
                <c:pt idx="23">
                  <c:v>224149</c:v>
                </c:pt>
                <c:pt idx="24">
                  <c:v>235391</c:v>
                </c:pt>
                <c:pt idx="25">
                  <c:v>244512</c:v>
                </c:pt>
                <c:pt idx="26">
                  <c:v>249522</c:v>
                </c:pt>
                <c:pt idx="27">
                  <c:v>257907</c:v>
                </c:pt>
                <c:pt idx="28">
                  <c:v>271148</c:v>
                </c:pt>
                <c:pt idx="29">
                  <c:v>281382</c:v>
                </c:pt>
                <c:pt idx="30">
                  <c:v>292259</c:v>
                </c:pt>
                <c:pt idx="31">
                  <c:v>304429</c:v>
                </c:pt>
                <c:pt idx="32">
                  <c:v>317251</c:v>
                </c:pt>
                <c:pt idx="33">
                  <c:v>328884</c:v>
                </c:pt>
                <c:pt idx="34">
                  <c:v>345955</c:v>
                </c:pt>
                <c:pt idx="35">
                  <c:v>357569</c:v>
                </c:pt>
                <c:pt idx="36">
                  <c:v>372043</c:v>
                </c:pt>
                <c:pt idx="37">
                  <c:v>389675</c:v>
                </c:pt>
                <c:pt idx="38">
                  <c:v>407354</c:v>
                </c:pt>
                <c:pt idx="39">
                  <c:v>425688</c:v>
                </c:pt>
                <c:pt idx="40">
                  <c:v>441437</c:v>
                </c:pt>
                <c:pt idx="41">
                  <c:v>457389</c:v>
                </c:pt>
                <c:pt idx="42">
                  <c:v>466640</c:v>
                </c:pt>
                <c:pt idx="43">
                  <c:v>477223</c:v>
                </c:pt>
                <c:pt idx="44">
                  <c:v>483982</c:v>
                </c:pt>
                <c:pt idx="45">
                  <c:v>492779</c:v>
                </c:pt>
                <c:pt idx="46">
                  <c:v>498461</c:v>
                </c:pt>
                <c:pt idx="47">
                  <c:v>504705</c:v>
                </c:pt>
                <c:pt idx="48">
                  <c:v>508790</c:v>
                </c:pt>
                <c:pt idx="49">
                  <c:v>514680</c:v>
                </c:pt>
                <c:pt idx="50">
                  <c:v>520149</c:v>
                </c:pt>
                <c:pt idx="51">
                  <c:v>518031</c:v>
                </c:pt>
                <c:pt idx="52">
                  <c:v>521903</c:v>
                </c:pt>
                <c:pt idx="53">
                  <c:v>526530</c:v>
                </c:pt>
                <c:pt idx="54">
                  <c:v>532871</c:v>
                </c:pt>
                <c:pt idx="55">
                  <c:v>543350</c:v>
                </c:pt>
                <c:pt idx="56">
                  <c:v>551695</c:v>
                </c:pt>
                <c:pt idx="57">
                  <c:v>554849</c:v>
                </c:pt>
                <c:pt idx="58">
                  <c:v>560024</c:v>
                </c:pt>
                <c:pt idx="59">
                  <c:v>566595</c:v>
                </c:pt>
                <c:pt idx="60">
                  <c:v>578940</c:v>
                </c:pt>
                <c:pt idx="61">
                  <c:v>590987</c:v>
                </c:pt>
                <c:pt idx="62">
                  <c:v>606095</c:v>
                </c:pt>
                <c:pt idx="63">
                  <c:v>622309</c:v>
                </c:pt>
                <c:pt idx="64">
                  <c:v>634961</c:v>
                </c:pt>
                <c:pt idx="65">
                  <c:v>649417</c:v>
                </c:pt>
                <c:pt idx="66">
                  <c:v>667927</c:v>
                </c:pt>
                <c:pt idx="67">
                  <c:v>681341</c:v>
                </c:pt>
                <c:pt idx="68">
                  <c:v>709239</c:v>
                </c:pt>
                <c:pt idx="69">
                  <c:v>724654</c:v>
                </c:pt>
                <c:pt idx="70">
                  <c:v>707415</c:v>
                </c:pt>
                <c:pt idx="71">
                  <c:v>719750</c:v>
                </c:pt>
                <c:pt idx="72">
                  <c:v>739496</c:v>
                </c:pt>
                <c:pt idx="73">
                  <c:v>752367</c:v>
                </c:pt>
                <c:pt idx="74">
                  <c:v>771903</c:v>
                </c:pt>
                <c:pt idx="75">
                  <c:v>781177</c:v>
                </c:pt>
                <c:pt idx="76">
                  <c:v>789203</c:v>
                </c:pt>
                <c:pt idx="77">
                  <c:v>796099</c:v>
                </c:pt>
                <c:pt idx="78">
                  <c:v>796114</c:v>
                </c:pt>
                <c:pt idx="79">
                  <c:v>813230</c:v>
                </c:pt>
                <c:pt idx="80">
                  <c:v>830982</c:v>
                </c:pt>
                <c:pt idx="81">
                  <c:v>850218</c:v>
                </c:pt>
                <c:pt idx="82">
                  <c:v>867508</c:v>
                </c:pt>
                <c:pt idx="83">
                  <c:v>881367</c:v>
                </c:pt>
                <c:pt idx="84">
                  <c:v>899940</c:v>
                </c:pt>
                <c:pt idx="85">
                  <c:v>915248</c:v>
                </c:pt>
                <c:pt idx="86">
                  <c:v>937798</c:v>
                </c:pt>
                <c:pt idx="87">
                  <c:v>940234</c:v>
                </c:pt>
                <c:pt idx="88">
                  <c:v>949510</c:v>
                </c:pt>
                <c:pt idx="89">
                  <c:v>969340</c:v>
                </c:pt>
                <c:pt idx="90">
                  <c:v>991500</c:v>
                </c:pt>
                <c:pt idx="91">
                  <c:v>1005909</c:v>
                </c:pt>
                <c:pt idx="92">
                  <c:v>1017134</c:v>
                </c:pt>
                <c:pt idx="93">
                  <c:v>1043399</c:v>
                </c:pt>
                <c:pt idx="94">
                  <c:v>1052983</c:v>
                </c:pt>
                <c:pt idx="95">
                  <c:v>1077628</c:v>
                </c:pt>
                <c:pt idx="96">
                  <c:v>1098575</c:v>
                </c:pt>
                <c:pt idx="97">
                  <c:v>1127752</c:v>
                </c:pt>
                <c:pt idx="98">
                  <c:v>1149530</c:v>
                </c:pt>
                <c:pt idx="99">
                  <c:v>1173749</c:v>
                </c:pt>
                <c:pt idx="100">
                  <c:v>1213501</c:v>
                </c:pt>
                <c:pt idx="101">
                  <c:v>1243643</c:v>
                </c:pt>
                <c:pt idx="102">
                  <c:v>1277207</c:v>
                </c:pt>
                <c:pt idx="103">
                  <c:v>1322436</c:v>
                </c:pt>
                <c:pt idx="104">
                  <c:v>1360764</c:v>
                </c:pt>
                <c:pt idx="105">
                  <c:v>1411597</c:v>
                </c:pt>
                <c:pt idx="106">
                  <c:v>1460436</c:v>
                </c:pt>
                <c:pt idx="107">
                  <c:v>1492610</c:v>
                </c:pt>
                <c:pt idx="108">
                  <c:v>1536787</c:v>
                </c:pt>
                <c:pt idx="109">
                  <c:v>1591732</c:v>
                </c:pt>
                <c:pt idx="110">
                  <c:v>1648029</c:v>
                </c:pt>
                <c:pt idx="111">
                  <c:v>1671154</c:v>
                </c:pt>
                <c:pt idx="112">
                  <c:v>1714355</c:v>
                </c:pt>
                <c:pt idx="113">
                  <c:v>1759843</c:v>
                </c:pt>
                <c:pt idx="114">
                  <c:v>1825356</c:v>
                </c:pt>
                <c:pt idx="115">
                  <c:v>1934327</c:v>
                </c:pt>
                <c:pt idx="116">
                  <c:v>2004448</c:v>
                </c:pt>
                <c:pt idx="117">
                  <c:v>1970309</c:v>
                </c:pt>
                <c:pt idx="118">
                  <c:v>2012446</c:v>
                </c:pt>
                <c:pt idx="119">
                  <c:v>2044675</c:v>
                </c:pt>
                <c:pt idx="120">
                  <c:v>2213557</c:v>
                </c:pt>
                <c:pt idx="121">
                  <c:v>2193735</c:v>
                </c:pt>
                <c:pt idx="122">
                  <c:v>2185490</c:v>
                </c:pt>
                <c:pt idx="123">
                  <c:v>2156856</c:v>
                </c:pt>
                <c:pt idx="124">
                  <c:v>2156133</c:v>
                </c:pt>
                <c:pt idx="125">
                  <c:v>2149564</c:v>
                </c:pt>
                <c:pt idx="126">
                  <c:v>2133722</c:v>
                </c:pt>
                <c:pt idx="127">
                  <c:v>2089369</c:v>
                </c:pt>
                <c:pt idx="128">
                  <c:v>2060965</c:v>
                </c:pt>
                <c:pt idx="129">
                  <c:v>2060663</c:v>
                </c:pt>
                <c:pt idx="130">
                  <c:v>2078739</c:v>
                </c:pt>
                <c:pt idx="131">
                  <c:v>2094127</c:v>
                </c:pt>
                <c:pt idx="132">
                  <c:v>2084982</c:v>
                </c:pt>
                <c:pt idx="133">
                  <c:v>2089697</c:v>
                </c:pt>
                <c:pt idx="134">
                  <c:v>2140451</c:v>
                </c:pt>
                <c:pt idx="135">
                  <c:v>2108359</c:v>
                </c:pt>
                <c:pt idx="136">
                  <c:v>2103469</c:v>
                </c:pt>
                <c:pt idx="137">
                  <c:v>2104290</c:v>
                </c:pt>
                <c:pt idx="138">
                  <c:v>2106306</c:v>
                </c:pt>
                <c:pt idx="139">
                  <c:v>2105605</c:v>
                </c:pt>
                <c:pt idx="140">
                  <c:v>2099259</c:v>
                </c:pt>
                <c:pt idx="141">
                  <c:v>2103912</c:v>
                </c:pt>
                <c:pt idx="142">
                  <c:v>2094548</c:v>
                </c:pt>
                <c:pt idx="143">
                  <c:v>2115826</c:v>
                </c:pt>
                <c:pt idx="144">
                  <c:v>2127356</c:v>
                </c:pt>
                <c:pt idx="145">
                  <c:v>2181151</c:v>
                </c:pt>
                <c:pt idx="146">
                  <c:v>2223141</c:v>
                </c:pt>
                <c:pt idx="147">
                  <c:v>2246830</c:v>
                </c:pt>
                <c:pt idx="148">
                  <c:v>2282820</c:v>
                </c:pt>
                <c:pt idx="149">
                  <c:v>2304400</c:v>
                </c:pt>
                <c:pt idx="150">
                  <c:v>2350308</c:v>
                </c:pt>
                <c:pt idx="151">
                  <c:v>2354965</c:v>
                </c:pt>
                <c:pt idx="152">
                  <c:v>2350821</c:v>
                </c:pt>
              </c:numCache>
            </c:numRef>
          </c:val>
          <c:smooth val="0"/>
          <c:extLst>
            <c:ext xmlns:c16="http://schemas.microsoft.com/office/drawing/2014/chart" uri="{C3380CC4-5D6E-409C-BE32-E72D297353CC}">
              <c16:uniqueId val="{00000000-566E-4548-847E-B6F4FAF6540E}"/>
            </c:ext>
          </c:extLst>
        </c:ser>
        <c:ser>
          <c:idx val="1"/>
          <c:order val="1"/>
          <c:tx>
            <c:strRef>
              <c:f>'M4'!$C$1:$C$2</c:f>
              <c:strCache>
                <c:ptCount val="2"/>
                <c:pt idx="0">
                  <c:v>Gross Domestic Product at market prices (quarterly data): Current price: Seasonally adjusted (£ million)  </c:v>
                </c:pt>
              </c:strCache>
            </c:strRef>
          </c:tx>
          <c:spPr>
            <a:ln w="28575" cap="rnd">
              <a:solidFill>
                <a:srgbClr val="0000FF"/>
              </a:solidFill>
              <a:round/>
            </a:ln>
            <a:effectLst/>
          </c:spPr>
          <c:marker>
            <c:symbol val="none"/>
          </c:marker>
          <c:cat>
            <c:numRef>
              <c:f>'M4'!$A$71:$A$223</c:f>
              <c:numCache>
                <c:formatCode>d\-mmm\-yy</c:formatCode>
                <c:ptCount val="153"/>
                <c:pt idx="0">
                  <c:v>29311</c:v>
                </c:pt>
                <c:pt idx="1">
                  <c:v>29402</c:v>
                </c:pt>
                <c:pt idx="2">
                  <c:v>29494</c:v>
                </c:pt>
                <c:pt idx="3">
                  <c:v>29586</c:v>
                </c:pt>
                <c:pt idx="4">
                  <c:v>29676</c:v>
                </c:pt>
                <c:pt idx="5">
                  <c:v>29767</c:v>
                </c:pt>
                <c:pt idx="6">
                  <c:v>29859</c:v>
                </c:pt>
                <c:pt idx="7">
                  <c:v>29951</c:v>
                </c:pt>
                <c:pt idx="8">
                  <c:v>30041</c:v>
                </c:pt>
                <c:pt idx="9">
                  <c:v>30132</c:v>
                </c:pt>
                <c:pt idx="10">
                  <c:v>30224</c:v>
                </c:pt>
                <c:pt idx="11">
                  <c:v>30316</c:v>
                </c:pt>
                <c:pt idx="12">
                  <c:v>30406</c:v>
                </c:pt>
                <c:pt idx="13">
                  <c:v>30497</c:v>
                </c:pt>
                <c:pt idx="14">
                  <c:v>30589</c:v>
                </c:pt>
                <c:pt idx="15">
                  <c:v>30681</c:v>
                </c:pt>
                <c:pt idx="16">
                  <c:v>30772</c:v>
                </c:pt>
                <c:pt idx="17">
                  <c:v>30863</c:v>
                </c:pt>
                <c:pt idx="18">
                  <c:v>30955</c:v>
                </c:pt>
                <c:pt idx="19">
                  <c:v>31047</c:v>
                </c:pt>
                <c:pt idx="20">
                  <c:v>31137</c:v>
                </c:pt>
                <c:pt idx="21">
                  <c:v>31228</c:v>
                </c:pt>
                <c:pt idx="22">
                  <c:v>31320</c:v>
                </c:pt>
                <c:pt idx="23">
                  <c:v>31412</c:v>
                </c:pt>
                <c:pt idx="24">
                  <c:v>31502</c:v>
                </c:pt>
                <c:pt idx="25">
                  <c:v>31593</c:v>
                </c:pt>
                <c:pt idx="26">
                  <c:v>31685</c:v>
                </c:pt>
                <c:pt idx="27">
                  <c:v>31777</c:v>
                </c:pt>
                <c:pt idx="28">
                  <c:v>31867</c:v>
                </c:pt>
                <c:pt idx="29">
                  <c:v>31958</c:v>
                </c:pt>
                <c:pt idx="30">
                  <c:v>32050</c:v>
                </c:pt>
                <c:pt idx="31">
                  <c:v>32142</c:v>
                </c:pt>
                <c:pt idx="32">
                  <c:v>32233</c:v>
                </c:pt>
                <c:pt idx="33">
                  <c:v>32324</c:v>
                </c:pt>
                <c:pt idx="34">
                  <c:v>32416</c:v>
                </c:pt>
                <c:pt idx="35">
                  <c:v>32508</c:v>
                </c:pt>
                <c:pt idx="36">
                  <c:v>32598</c:v>
                </c:pt>
                <c:pt idx="37">
                  <c:v>32689</c:v>
                </c:pt>
                <c:pt idx="38">
                  <c:v>32781</c:v>
                </c:pt>
                <c:pt idx="39">
                  <c:v>32873</c:v>
                </c:pt>
                <c:pt idx="40">
                  <c:v>32963</c:v>
                </c:pt>
                <c:pt idx="41">
                  <c:v>33054</c:v>
                </c:pt>
                <c:pt idx="42">
                  <c:v>33146</c:v>
                </c:pt>
                <c:pt idx="43">
                  <c:v>33238</c:v>
                </c:pt>
                <c:pt idx="44">
                  <c:v>33328</c:v>
                </c:pt>
                <c:pt idx="45">
                  <c:v>33419</c:v>
                </c:pt>
                <c:pt idx="46">
                  <c:v>33511</c:v>
                </c:pt>
                <c:pt idx="47">
                  <c:v>33603</c:v>
                </c:pt>
                <c:pt idx="48">
                  <c:v>33694</c:v>
                </c:pt>
                <c:pt idx="49">
                  <c:v>33785</c:v>
                </c:pt>
                <c:pt idx="50">
                  <c:v>33877</c:v>
                </c:pt>
                <c:pt idx="51">
                  <c:v>33969</c:v>
                </c:pt>
                <c:pt idx="52">
                  <c:v>34059</c:v>
                </c:pt>
                <c:pt idx="53">
                  <c:v>34150</c:v>
                </c:pt>
                <c:pt idx="54">
                  <c:v>34242</c:v>
                </c:pt>
                <c:pt idx="55">
                  <c:v>34334</c:v>
                </c:pt>
                <c:pt idx="56">
                  <c:v>34424</c:v>
                </c:pt>
                <c:pt idx="57">
                  <c:v>34515</c:v>
                </c:pt>
                <c:pt idx="58">
                  <c:v>34607</c:v>
                </c:pt>
                <c:pt idx="59">
                  <c:v>34699</c:v>
                </c:pt>
                <c:pt idx="60">
                  <c:v>34789</c:v>
                </c:pt>
                <c:pt idx="61">
                  <c:v>34880</c:v>
                </c:pt>
                <c:pt idx="62">
                  <c:v>34972</c:v>
                </c:pt>
                <c:pt idx="63">
                  <c:v>35064</c:v>
                </c:pt>
                <c:pt idx="64">
                  <c:v>35155</c:v>
                </c:pt>
                <c:pt idx="65">
                  <c:v>35246</c:v>
                </c:pt>
                <c:pt idx="66">
                  <c:v>35338</c:v>
                </c:pt>
                <c:pt idx="67">
                  <c:v>35430</c:v>
                </c:pt>
                <c:pt idx="68">
                  <c:v>35520</c:v>
                </c:pt>
                <c:pt idx="69">
                  <c:v>35611</c:v>
                </c:pt>
                <c:pt idx="70">
                  <c:v>35703</c:v>
                </c:pt>
                <c:pt idx="71">
                  <c:v>35795</c:v>
                </c:pt>
                <c:pt idx="72">
                  <c:v>35885</c:v>
                </c:pt>
                <c:pt idx="73">
                  <c:v>35976</c:v>
                </c:pt>
                <c:pt idx="74">
                  <c:v>36068</c:v>
                </c:pt>
                <c:pt idx="75">
                  <c:v>36160</c:v>
                </c:pt>
                <c:pt idx="76">
                  <c:v>36250</c:v>
                </c:pt>
                <c:pt idx="77">
                  <c:v>36341</c:v>
                </c:pt>
                <c:pt idx="78">
                  <c:v>36433</c:v>
                </c:pt>
                <c:pt idx="79">
                  <c:v>36525</c:v>
                </c:pt>
                <c:pt idx="80">
                  <c:v>36616</c:v>
                </c:pt>
                <c:pt idx="81">
                  <c:v>36707</c:v>
                </c:pt>
                <c:pt idx="82">
                  <c:v>36799</c:v>
                </c:pt>
                <c:pt idx="83">
                  <c:v>36891</c:v>
                </c:pt>
                <c:pt idx="84">
                  <c:v>36981</c:v>
                </c:pt>
                <c:pt idx="85">
                  <c:v>37072</c:v>
                </c:pt>
                <c:pt idx="86">
                  <c:v>37164</c:v>
                </c:pt>
                <c:pt idx="87">
                  <c:v>37256</c:v>
                </c:pt>
                <c:pt idx="88">
                  <c:v>37346</c:v>
                </c:pt>
                <c:pt idx="89">
                  <c:v>37437</c:v>
                </c:pt>
                <c:pt idx="90">
                  <c:v>37529</c:v>
                </c:pt>
                <c:pt idx="91">
                  <c:v>37621</c:v>
                </c:pt>
                <c:pt idx="92">
                  <c:v>37711</c:v>
                </c:pt>
                <c:pt idx="93">
                  <c:v>37802</c:v>
                </c:pt>
                <c:pt idx="94">
                  <c:v>37894</c:v>
                </c:pt>
                <c:pt idx="95">
                  <c:v>37986</c:v>
                </c:pt>
                <c:pt idx="96">
                  <c:v>38077</c:v>
                </c:pt>
                <c:pt idx="97">
                  <c:v>38168</c:v>
                </c:pt>
                <c:pt idx="98">
                  <c:v>38260</c:v>
                </c:pt>
                <c:pt idx="99">
                  <c:v>38352</c:v>
                </c:pt>
                <c:pt idx="100">
                  <c:v>38442</c:v>
                </c:pt>
                <c:pt idx="101">
                  <c:v>38533</c:v>
                </c:pt>
                <c:pt idx="102">
                  <c:v>38625</c:v>
                </c:pt>
                <c:pt idx="103">
                  <c:v>38717</c:v>
                </c:pt>
                <c:pt idx="104">
                  <c:v>38807</c:v>
                </c:pt>
                <c:pt idx="105">
                  <c:v>38898</c:v>
                </c:pt>
                <c:pt idx="106">
                  <c:v>38990</c:v>
                </c:pt>
                <c:pt idx="107">
                  <c:v>39082</c:v>
                </c:pt>
                <c:pt idx="108">
                  <c:v>39172</c:v>
                </c:pt>
                <c:pt idx="109">
                  <c:v>39263</c:v>
                </c:pt>
                <c:pt idx="110">
                  <c:v>39355</c:v>
                </c:pt>
                <c:pt idx="111">
                  <c:v>39447</c:v>
                </c:pt>
                <c:pt idx="112">
                  <c:v>39538</c:v>
                </c:pt>
                <c:pt idx="113">
                  <c:v>39629</c:v>
                </c:pt>
                <c:pt idx="114">
                  <c:v>39721</c:v>
                </c:pt>
                <c:pt idx="115">
                  <c:v>39813</c:v>
                </c:pt>
                <c:pt idx="116">
                  <c:v>39903</c:v>
                </c:pt>
                <c:pt idx="117">
                  <c:v>39994</c:v>
                </c:pt>
                <c:pt idx="118">
                  <c:v>40086</c:v>
                </c:pt>
                <c:pt idx="119">
                  <c:v>40178</c:v>
                </c:pt>
                <c:pt idx="120">
                  <c:v>40268</c:v>
                </c:pt>
                <c:pt idx="121">
                  <c:v>40359</c:v>
                </c:pt>
                <c:pt idx="122">
                  <c:v>40451</c:v>
                </c:pt>
                <c:pt idx="123">
                  <c:v>40543</c:v>
                </c:pt>
                <c:pt idx="124">
                  <c:v>40633</c:v>
                </c:pt>
                <c:pt idx="125">
                  <c:v>40724</c:v>
                </c:pt>
                <c:pt idx="126">
                  <c:v>40816</c:v>
                </c:pt>
                <c:pt idx="127">
                  <c:v>40908</c:v>
                </c:pt>
                <c:pt idx="128">
                  <c:v>40999</c:v>
                </c:pt>
                <c:pt idx="129">
                  <c:v>41090</c:v>
                </c:pt>
                <c:pt idx="130">
                  <c:v>41182</c:v>
                </c:pt>
                <c:pt idx="131">
                  <c:v>41274</c:v>
                </c:pt>
                <c:pt idx="132">
                  <c:v>41364</c:v>
                </c:pt>
                <c:pt idx="133">
                  <c:v>41455</c:v>
                </c:pt>
                <c:pt idx="134">
                  <c:v>41547</c:v>
                </c:pt>
                <c:pt idx="135">
                  <c:v>41639</c:v>
                </c:pt>
                <c:pt idx="136">
                  <c:v>41729</c:v>
                </c:pt>
                <c:pt idx="137">
                  <c:v>41820</c:v>
                </c:pt>
                <c:pt idx="138">
                  <c:v>41912</c:v>
                </c:pt>
                <c:pt idx="139">
                  <c:v>42004</c:v>
                </c:pt>
                <c:pt idx="140">
                  <c:v>42094</c:v>
                </c:pt>
                <c:pt idx="141">
                  <c:v>42185</c:v>
                </c:pt>
                <c:pt idx="142">
                  <c:v>42277</c:v>
                </c:pt>
                <c:pt idx="143">
                  <c:v>42369</c:v>
                </c:pt>
                <c:pt idx="144">
                  <c:v>42460</c:v>
                </c:pt>
                <c:pt idx="145">
                  <c:v>42551</c:v>
                </c:pt>
                <c:pt idx="146">
                  <c:v>42643</c:v>
                </c:pt>
                <c:pt idx="147">
                  <c:v>42735</c:v>
                </c:pt>
                <c:pt idx="148">
                  <c:v>42825</c:v>
                </c:pt>
                <c:pt idx="149">
                  <c:v>42916</c:v>
                </c:pt>
                <c:pt idx="150">
                  <c:v>43008</c:v>
                </c:pt>
                <c:pt idx="151">
                  <c:v>43100</c:v>
                </c:pt>
                <c:pt idx="152">
                  <c:v>43190</c:v>
                </c:pt>
              </c:numCache>
            </c:numRef>
          </c:cat>
          <c:val>
            <c:numRef>
              <c:f>'M4'!$C$71:$C$223</c:f>
              <c:numCache>
                <c:formatCode>"£"#,##0;[Red]"£"#,##0</c:formatCode>
                <c:ptCount val="153"/>
                <c:pt idx="0">
                  <c:v>62111</c:v>
                </c:pt>
                <c:pt idx="1">
                  <c:v>63698</c:v>
                </c:pt>
                <c:pt idx="2">
                  <c:v>66009</c:v>
                </c:pt>
                <c:pt idx="3">
                  <c:v>68144</c:v>
                </c:pt>
                <c:pt idx="4">
                  <c:v>69926</c:v>
                </c:pt>
                <c:pt idx="5">
                  <c:v>71254</c:v>
                </c:pt>
                <c:pt idx="6">
                  <c:v>73204</c:v>
                </c:pt>
                <c:pt idx="7">
                  <c:v>75515</c:v>
                </c:pt>
                <c:pt idx="8">
                  <c:v>77425</c:v>
                </c:pt>
                <c:pt idx="9">
                  <c:v>78887</c:v>
                </c:pt>
                <c:pt idx="10">
                  <c:v>80339</c:v>
                </c:pt>
                <c:pt idx="11">
                  <c:v>82559</c:v>
                </c:pt>
                <c:pt idx="12">
                  <c:v>85602</c:v>
                </c:pt>
                <c:pt idx="13">
                  <c:v>86341</c:v>
                </c:pt>
                <c:pt idx="14">
                  <c:v>88455</c:v>
                </c:pt>
                <c:pt idx="15">
                  <c:v>90711</c:v>
                </c:pt>
                <c:pt idx="16">
                  <c:v>91534</c:v>
                </c:pt>
                <c:pt idx="17">
                  <c:v>93384</c:v>
                </c:pt>
                <c:pt idx="18">
                  <c:v>94693</c:v>
                </c:pt>
                <c:pt idx="19">
                  <c:v>97966</c:v>
                </c:pt>
                <c:pt idx="20">
                  <c:v>98864</c:v>
                </c:pt>
                <c:pt idx="21">
                  <c:v>103354</c:v>
                </c:pt>
                <c:pt idx="22">
                  <c:v>104937</c:v>
                </c:pt>
                <c:pt idx="23">
                  <c:v>107174</c:v>
                </c:pt>
                <c:pt idx="24">
                  <c:v>108610</c:v>
                </c:pt>
                <c:pt idx="25">
                  <c:v>110274</c:v>
                </c:pt>
                <c:pt idx="26">
                  <c:v>112067</c:v>
                </c:pt>
                <c:pt idx="27">
                  <c:v>115462</c:v>
                </c:pt>
                <c:pt idx="28">
                  <c:v>118018</c:v>
                </c:pt>
                <c:pt idx="29">
                  <c:v>121692</c:v>
                </c:pt>
                <c:pt idx="30">
                  <c:v>126568</c:v>
                </c:pt>
                <c:pt idx="31">
                  <c:v>129256</c:v>
                </c:pt>
                <c:pt idx="32">
                  <c:v>133077</c:v>
                </c:pt>
                <c:pt idx="33">
                  <c:v>135906</c:v>
                </c:pt>
                <c:pt idx="34">
                  <c:v>140584</c:v>
                </c:pt>
                <c:pt idx="35">
                  <c:v>145329</c:v>
                </c:pt>
                <c:pt idx="36">
                  <c:v>148383</c:v>
                </c:pt>
                <c:pt idx="37">
                  <c:v>151034</c:v>
                </c:pt>
                <c:pt idx="38">
                  <c:v>155249</c:v>
                </c:pt>
                <c:pt idx="39">
                  <c:v>158715</c:v>
                </c:pt>
                <c:pt idx="40">
                  <c:v>161828</c:v>
                </c:pt>
                <c:pt idx="41">
                  <c:v>166291</c:v>
                </c:pt>
                <c:pt idx="42">
                  <c:v>169415</c:v>
                </c:pt>
                <c:pt idx="43">
                  <c:v>169901</c:v>
                </c:pt>
                <c:pt idx="44">
                  <c:v>172952</c:v>
                </c:pt>
                <c:pt idx="45">
                  <c:v>175015</c:v>
                </c:pt>
                <c:pt idx="46">
                  <c:v>176604</c:v>
                </c:pt>
                <c:pt idx="47">
                  <c:v>179157</c:v>
                </c:pt>
                <c:pt idx="48">
                  <c:v>180716</c:v>
                </c:pt>
                <c:pt idx="49">
                  <c:v>181104</c:v>
                </c:pt>
                <c:pt idx="50">
                  <c:v>181578</c:v>
                </c:pt>
                <c:pt idx="51">
                  <c:v>184567</c:v>
                </c:pt>
                <c:pt idx="52">
                  <c:v>188951</c:v>
                </c:pt>
                <c:pt idx="53">
                  <c:v>189422</c:v>
                </c:pt>
                <c:pt idx="54">
                  <c:v>192843</c:v>
                </c:pt>
                <c:pt idx="55">
                  <c:v>195192</c:v>
                </c:pt>
                <c:pt idx="56">
                  <c:v>198121</c:v>
                </c:pt>
                <c:pt idx="57">
                  <c:v>199863</c:v>
                </c:pt>
                <c:pt idx="58">
                  <c:v>202107</c:v>
                </c:pt>
                <c:pt idx="59">
                  <c:v>206329</c:v>
                </c:pt>
                <c:pt idx="60">
                  <c:v>207126</c:v>
                </c:pt>
                <c:pt idx="61">
                  <c:v>209691</c:v>
                </c:pt>
                <c:pt idx="62">
                  <c:v>213540</c:v>
                </c:pt>
                <c:pt idx="63">
                  <c:v>216179</c:v>
                </c:pt>
                <c:pt idx="64">
                  <c:v>220343</c:v>
                </c:pt>
                <c:pt idx="65">
                  <c:v>224990</c:v>
                </c:pt>
                <c:pt idx="66">
                  <c:v>227942</c:v>
                </c:pt>
                <c:pt idx="67">
                  <c:v>230157</c:v>
                </c:pt>
                <c:pt idx="68">
                  <c:v>232522</c:v>
                </c:pt>
                <c:pt idx="69">
                  <c:v>235047</c:v>
                </c:pt>
                <c:pt idx="70">
                  <c:v>241681</c:v>
                </c:pt>
                <c:pt idx="71">
                  <c:v>239703</c:v>
                </c:pt>
                <c:pt idx="72">
                  <c:v>243101</c:v>
                </c:pt>
                <c:pt idx="73">
                  <c:v>245460</c:v>
                </c:pt>
                <c:pt idx="74">
                  <c:v>247837</c:v>
                </c:pt>
                <c:pt idx="75">
                  <c:v>254840</c:v>
                </c:pt>
                <c:pt idx="76">
                  <c:v>256367</c:v>
                </c:pt>
                <c:pt idx="77">
                  <c:v>254699</c:v>
                </c:pt>
                <c:pt idx="78">
                  <c:v>257982</c:v>
                </c:pt>
                <c:pt idx="79">
                  <c:v>262110</c:v>
                </c:pt>
                <c:pt idx="80">
                  <c:v>268202</c:v>
                </c:pt>
                <c:pt idx="81">
                  <c:v>271872</c:v>
                </c:pt>
                <c:pt idx="82">
                  <c:v>274115</c:v>
                </c:pt>
                <c:pt idx="83">
                  <c:v>275152</c:v>
                </c:pt>
                <c:pt idx="84">
                  <c:v>277539</c:v>
                </c:pt>
                <c:pt idx="85">
                  <c:v>282538</c:v>
                </c:pt>
                <c:pt idx="86">
                  <c:v>283440</c:v>
                </c:pt>
                <c:pt idx="87">
                  <c:v>285926</c:v>
                </c:pt>
                <c:pt idx="88">
                  <c:v>289508</c:v>
                </c:pt>
                <c:pt idx="89">
                  <c:v>293118</c:v>
                </c:pt>
                <c:pt idx="90">
                  <c:v>297553</c:v>
                </c:pt>
                <c:pt idx="91">
                  <c:v>302777</c:v>
                </c:pt>
                <c:pt idx="92">
                  <c:v>307147</c:v>
                </c:pt>
                <c:pt idx="93">
                  <c:v>309831</c:v>
                </c:pt>
                <c:pt idx="94">
                  <c:v>314554</c:v>
                </c:pt>
                <c:pt idx="95">
                  <c:v>320315</c:v>
                </c:pt>
                <c:pt idx="96">
                  <c:v>322812</c:v>
                </c:pt>
                <c:pt idx="97">
                  <c:v>328188</c:v>
                </c:pt>
                <c:pt idx="98">
                  <c:v>329468</c:v>
                </c:pt>
                <c:pt idx="99">
                  <c:v>332386</c:v>
                </c:pt>
                <c:pt idx="100">
                  <c:v>336947</c:v>
                </c:pt>
                <c:pt idx="101">
                  <c:v>345621</c:v>
                </c:pt>
                <c:pt idx="102">
                  <c:v>348944</c:v>
                </c:pt>
                <c:pt idx="103">
                  <c:v>357241</c:v>
                </c:pt>
                <c:pt idx="104">
                  <c:v>360867</c:v>
                </c:pt>
                <c:pt idx="105">
                  <c:v>364503</c:v>
                </c:pt>
                <c:pt idx="106">
                  <c:v>368529</c:v>
                </c:pt>
                <c:pt idx="107">
                  <c:v>372003</c:v>
                </c:pt>
                <c:pt idx="108">
                  <c:v>377827</c:v>
                </c:pt>
                <c:pt idx="109">
                  <c:v>381615</c:v>
                </c:pt>
                <c:pt idx="110">
                  <c:v>388524</c:v>
                </c:pt>
                <c:pt idx="111">
                  <c:v>393476</c:v>
                </c:pt>
                <c:pt idx="112">
                  <c:v>399035</c:v>
                </c:pt>
                <c:pt idx="113">
                  <c:v>397075</c:v>
                </c:pt>
                <c:pt idx="114">
                  <c:v>394626</c:v>
                </c:pt>
                <c:pt idx="115">
                  <c:v>389060</c:v>
                </c:pt>
                <c:pt idx="116">
                  <c:v>382864</c:v>
                </c:pt>
                <c:pt idx="117">
                  <c:v>382457</c:v>
                </c:pt>
                <c:pt idx="118">
                  <c:v>385469</c:v>
                </c:pt>
                <c:pt idx="119">
                  <c:v>386423</c:v>
                </c:pt>
                <c:pt idx="120">
                  <c:v>391142</c:v>
                </c:pt>
                <c:pt idx="121">
                  <c:v>397248</c:v>
                </c:pt>
                <c:pt idx="122">
                  <c:v>397897</c:v>
                </c:pt>
                <c:pt idx="123">
                  <c:v>401179</c:v>
                </c:pt>
                <c:pt idx="124">
                  <c:v>411146</c:v>
                </c:pt>
                <c:pt idx="125">
                  <c:v>408787</c:v>
                </c:pt>
                <c:pt idx="126">
                  <c:v>410262</c:v>
                </c:pt>
                <c:pt idx="127">
                  <c:v>414351</c:v>
                </c:pt>
                <c:pt idx="128">
                  <c:v>417502</c:v>
                </c:pt>
                <c:pt idx="129">
                  <c:v>418098</c:v>
                </c:pt>
                <c:pt idx="130">
                  <c:v>428748</c:v>
                </c:pt>
                <c:pt idx="131">
                  <c:v>430069</c:v>
                </c:pt>
                <c:pt idx="132">
                  <c:v>432989</c:v>
                </c:pt>
                <c:pt idx="133">
                  <c:v>436307</c:v>
                </c:pt>
                <c:pt idx="134">
                  <c:v>444346</c:v>
                </c:pt>
                <c:pt idx="135">
                  <c:v>447705</c:v>
                </c:pt>
                <c:pt idx="136">
                  <c:v>453883</c:v>
                </c:pt>
                <c:pt idx="137">
                  <c:v>460696</c:v>
                </c:pt>
                <c:pt idx="138">
                  <c:v>464730</c:v>
                </c:pt>
                <c:pt idx="139">
                  <c:v>464986</c:v>
                </c:pt>
                <c:pt idx="140">
                  <c:v>467295</c:v>
                </c:pt>
                <c:pt idx="141">
                  <c:v>475229</c:v>
                </c:pt>
                <c:pt idx="142">
                  <c:v>475541</c:v>
                </c:pt>
                <c:pt idx="143">
                  <c:v>477774</c:v>
                </c:pt>
                <c:pt idx="144">
                  <c:v>485326</c:v>
                </c:pt>
                <c:pt idx="145">
                  <c:v>489494</c:v>
                </c:pt>
                <c:pt idx="146">
                  <c:v>493730</c:v>
                </c:pt>
                <c:pt idx="147">
                  <c:v>500974</c:v>
                </c:pt>
                <c:pt idx="148">
                  <c:v>506015</c:v>
                </c:pt>
                <c:pt idx="149">
                  <c:v>508227</c:v>
                </c:pt>
                <c:pt idx="150">
                  <c:v>510906</c:v>
                </c:pt>
                <c:pt idx="151">
                  <c:v>515503</c:v>
                </c:pt>
                <c:pt idx="152">
                  <c:v>519880</c:v>
                </c:pt>
              </c:numCache>
            </c:numRef>
          </c:val>
          <c:smooth val="0"/>
          <c:extLst>
            <c:ext xmlns:c16="http://schemas.microsoft.com/office/drawing/2014/chart" uri="{C3380CC4-5D6E-409C-BE32-E72D297353CC}">
              <c16:uniqueId val="{00000001-566E-4548-847E-B6F4FAF6540E}"/>
            </c:ext>
          </c:extLst>
        </c:ser>
        <c:dLbls>
          <c:showLegendKey val="0"/>
          <c:showVal val="0"/>
          <c:showCatName val="0"/>
          <c:showSerName val="0"/>
          <c:showPercent val="0"/>
          <c:showBubbleSize val="0"/>
        </c:dLbls>
        <c:smooth val="0"/>
        <c:axId val="580409216"/>
        <c:axId val="580410752"/>
      </c:lineChart>
      <c:dateAx>
        <c:axId val="580409216"/>
        <c:scaling>
          <c:orientation val="minMax"/>
        </c:scaling>
        <c:delete val="0"/>
        <c:axPos val="b"/>
        <c:numFmt formatCode="d\-mmm\-yy" sourceLinked="1"/>
        <c:majorTickMark val="out"/>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410752"/>
        <c:crosses val="autoZero"/>
        <c:auto val="1"/>
        <c:lblOffset val="100"/>
        <c:baseTimeUnit val="months"/>
      </c:dateAx>
      <c:valAx>
        <c:axId val="58041075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 (million)</a:t>
                </a:r>
              </a:p>
            </c:rich>
          </c:tx>
          <c:overlay val="0"/>
          <c:spPr>
            <a:noFill/>
            <a:ln>
              <a:noFill/>
            </a:ln>
            <a:effectLst/>
          </c:spPr>
        </c:title>
        <c:numFmt formatCode="&quot;£&quot;#,##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409216"/>
        <c:crosses val="autoZero"/>
        <c:crossBetween val="between"/>
      </c:valAx>
      <c:spPr>
        <a:noFill/>
        <a:ln>
          <a:noFill/>
        </a:ln>
        <a:effectLst/>
      </c:spPr>
    </c:plotArea>
    <c:legend>
      <c:legendPos val="b"/>
      <c:layout>
        <c:manualLayout>
          <c:xMode val="edge"/>
          <c:yMode val="edge"/>
          <c:x val="2.7841877620382757E-2"/>
          <c:y val="0.78666595968433239"/>
          <c:w val="0.95296527442157475"/>
          <c:h val="0.2115588076742932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'House Prices'!$Y$27</c:f>
              <c:strCache>
                <c:ptCount val="1"/>
                <c:pt idx="0">
                  <c:v>Percentage change in lending for dwellings by financial institutions</c:v>
                </c:pt>
              </c:strCache>
            </c:strRef>
          </c:tx>
          <c:spPr>
            <a:ln w="28575" cap="rnd">
              <a:solidFill>
                <a:srgbClr val="FF0000"/>
              </a:solidFill>
              <a:round/>
            </a:ln>
            <a:effectLst/>
          </c:spPr>
          <c:marker>
            <c:symbol val="none"/>
          </c:marker>
          <c:cat>
            <c:numRef>
              <c:f>'House Prices'!$X$28:$X$51</c:f>
              <c:numCache>
                <c:formatCode>General</c:formatCode>
                <c:ptCount val="24"/>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pt idx="19">
                  <c:v>2013</c:v>
                </c:pt>
                <c:pt idx="20">
                  <c:v>2014</c:v>
                </c:pt>
                <c:pt idx="21">
                  <c:v>2015</c:v>
                </c:pt>
                <c:pt idx="22">
                  <c:v>2016</c:v>
                </c:pt>
                <c:pt idx="23">
                  <c:v>2017</c:v>
                </c:pt>
              </c:numCache>
            </c:numRef>
          </c:cat>
          <c:val>
            <c:numRef>
              <c:f>'House Prices'!$Y$28:$Y$51</c:f>
              <c:numCache>
                <c:formatCode>0.0%</c:formatCode>
                <c:ptCount val="24"/>
                <c:pt idx="0">
                  <c:v>4.9563499981203997E-2</c:v>
                </c:pt>
                <c:pt idx="1">
                  <c:v>4.5286106695246603E-2</c:v>
                </c:pt>
                <c:pt idx="2">
                  <c:v>3.8284536473763502E-2</c:v>
                </c:pt>
                <c:pt idx="3">
                  <c:v>5.2238900693286301E-2</c:v>
                </c:pt>
                <c:pt idx="4">
                  <c:v>4.8624966525854033E-2</c:v>
                </c:pt>
                <c:pt idx="5">
                  <c:v>6.9818752386956021E-2</c:v>
                </c:pt>
                <c:pt idx="6">
                  <c:v>8.6905189451205483E-2</c:v>
                </c:pt>
                <c:pt idx="7">
                  <c:v>8.5696421929040215E-2</c:v>
                </c:pt>
                <c:pt idx="8">
                  <c:v>0.11489382640453115</c:v>
                </c:pt>
                <c:pt idx="9">
                  <c:v>0.14792675012954229</c:v>
                </c:pt>
                <c:pt idx="10">
                  <c:v>0.15176870302705811</c:v>
                </c:pt>
                <c:pt idx="11">
                  <c:v>0.10941487152097799</c:v>
                </c:pt>
                <c:pt idx="12">
                  <c:v>0.10395743903145721</c:v>
                </c:pt>
                <c:pt idx="13">
                  <c:v>0.11305689083960377</c:v>
                </c:pt>
                <c:pt idx="14">
                  <c:v>6.6058304130480486E-2</c:v>
                </c:pt>
                <c:pt idx="15">
                  <c:v>9.1639939768772775E-3</c:v>
                </c:pt>
                <c:pt idx="16">
                  <c:v>7.4782379986546551E-3</c:v>
                </c:pt>
                <c:pt idx="17">
                  <c:v>3.0022265676969166E-3</c:v>
                </c:pt>
                <c:pt idx="18">
                  <c:v>1.8112940591523647E-2</c:v>
                </c:pt>
                <c:pt idx="19">
                  <c:v>5.9291403811659463E-3</c:v>
                </c:pt>
                <c:pt idx="20">
                  <c:v>1.6670888828973204E-2</c:v>
                </c:pt>
                <c:pt idx="21">
                  <c:v>1.6544148576052596E-2</c:v>
                </c:pt>
                <c:pt idx="22">
                  <c:v>2.9736814726773492E-2</c:v>
                </c:pt>
                <c:pt idx="23">
                  <c:v>2.9270727053263938E-2</c:v>
                </c:pt>
              </c:numCache>
            </c:numRef>
          </c:val>
          <c:smooth val="0"/>
          <c:extLst>
            <c:ext xmlns:c16="http://schemas.microsoft.com/office/drawing/2014/chart" uri="{C3380CC4-5D6E-409C-BE32-E72D297353CC}">
              <c16:uniqueId val="{00000000-80DF-4305-B0BD-E283AB19D6B0}"/>
            </c:ext>
          </c:extLst>
        </c:ser>
        <c:ser>
          <c:idx val="1"/>
          <c:order val="1"/>
          <c:tx>
            <c:strRef>
              <c:f>'House Prices'!$Z$27</c:f>
              <c:strCache>
                <c:ptCount val="1"/>
                <c:pt idx="0">
                  <c:v>Percentage change in house prices</c:v>
                </c:pt>
              </c:strCache>
            </c:strRef>
          </c:tx>
          <c:spPr>
            <a:ln w="28575" cap="rnd">
              <a:solidFill>
                <a:srgbClr val="9900FF"/>
              </a:solidFill>
              <a:round/>
            </a:ln>
            <a:effectLst/>
          </c:spPr>
          <c:marker>
            <c:symbol val="none"/>
          </c:marker>
          <c:cat>
            <c:numRef>
              <c:f>'House Prices'!$X$28:$X$51</c:f>
              <c:numCache>
                <c:formatCode>General</c:formatCode>
                <c:ptCount val="24"/>
                <c:pt idx="0">
                  <c:v>1994</c:v>
                </c:pt>
                <c:pt idx="1">
                  <c:v>1995</c:v>
                </c:pt>
                <c:pt idx="2">
                  <c:v>1996</c:v>
                </c:pt>
                <c:pt idx="3">
                  <c:v>1997</c:v>
                </c:pt>
                <c:pt idx="4">
                  <c:v>1998</c:v>
                </c:pt>
                <c:pt idx="5">
                  <c:v>1999</c:v>
                </c:pt>
                <c:pt idx="6">
                  <c:v>2000</c:v>
                </c:pt>
                <c:pt idx="7">
                  <c:v>2001</c:v>
                </c:pt>
                <c:pt idx="8">
                  <c:v>2002</c:v>
                </c:pt>
                <c:pt idx="9">
                  <c:v>2003</c:v>
                </c:pt>
                <c:pt idx="10">
                  <c:v>2004</c:v>
                </c:pt>
                <c:pt idx="11">
                  <c:v>2005</c:v>
                </c:pt>
                <c:pt idx="12">
                  <c:v>2006</c:v>
                </c:pt>
                <c:pt idx="13">
                  <c:v>2007</c:v>
                </c:pt>
                <c:pt idx="14">
                  <c:v>2008</c:v>
                </c:pt>
                <c:pt idx="15">
                  <c:v>2009</c:v>
                </c:pt>
                <c:pt idx="16">
                  <c:v>2010</c:v>
                </c:pt>
                <c:pt idx="17">
                  <c:v>2011</c:v>
                </c:pt>
                <c:pt idx="18">
                  <c:v>2012</c:v>
                </c:pt>
                <c:pt idx="19">
                  <c:v>2013</c:v>
                </c:pt>
                <c:pt idx="20">
                  <c:v>2014</c:v>
                </c:pt>
                <c:pt idx="21">
                  <c:v>2015</c:v>
                </c:pt>
                <c:pt idx="22">
                  <c:v>2016</c:v>
                </c:pt>
                <c:pt idx="23">
                  <c:v>2017</c:v>
                </c:pt>
              </c:numCache>
            </c:numRef>
          </c:cat>
          <c:val>
            <c:numRef>
              <c:f>'House Prices'!$Z$28:$Z$51</c:f>
              <c:numCache>
                <c:formatCode>0.0%</c:formatCode>
                <c:ptCount val="24"/>
                <c:pt idx="0">
                  <c:v>4.8387096774193547E-2</c:v>
                </c:pt>
                <c:pt idx="1">
                  <c:v>1.5384615384615385E-2</c:v>
                </c:pt>
                <c:pt idx="2">
                  <c:v>7.575757575757576E-2</c:v>
                </c:pt>
                <c:pt idx="3">
                  <c:v>7.0422535211267609E-2</c:v>
                </c:pt>
                <c:pt idx="4">
                  <c:v>7.8947368421052627E-2</c:v>
                </c:pt>
                <c:pt idx="5">
                  <c:v>0.13414634146341464</c:v>
                </c:pt>
                <c:pt idx="6">
                  <c:v>9.6774193548387094E-2</c:v>
                </c:pt>
                <c:pt idx="7">
                  <c:v>0.10784313725490197</c:v>
                </c:pt>
                <c:pt idx="8">
                  <c:v>0.13274336283185842</c:v>
                </c:pt>
                <c:pt idx="9">
                  <c:v>0.21875</c:v>
                </c:pt>
                <c:pt idx="10">
                  <c:v>0.15384615384615385</c:v>
                </c:pt>
                <c:pt idx="11">
                  <c:v>6.1111111111111109E-2</c:v>
                </c:pt>
                <c:pt idx="12">
                  <c:v>7.3298429319371722E-2</c:v>
                </c:pt>
                <c:pt idx="13">
                  <c:v>8.7804878048780483E-2</c:v>
                </c:pt>
                <c:pt idx="14">
                  <c:v>2.2421524663677129E-2</c:v>
                </c:pt>
                <c:pt idx="15">
                  <c:v>-8.771929824561403E-3</c:v>
                </c:pt>
                <c:pt idx="16">
                  <c:v>0.11061946902654868</c:v>
                </c:pt>
                <c:pt idx="17">
                  <c:v>-2.3904382470119521E-2</c:v>
                </c:pt>
                <c:pt idx="18">
                  <c:v>4.0816326530612249E-3</c:v>
                </c:pt>
                <c:pt idx="19">
                  <c:v>2.032520325203252E-2</c:v>
                </c:pt>
                <c:pt idx="20">
                  <c:v>6.3745019920318724E-2</c:v>
                </c:pt>
                <c:pt idx="21">
                  <c:v>3.7453183520599252E-2</c:v>
                </c:pt>
                <c:pt idx="22">
                  <c:v>2.1660649819494584E-2</c:v>
                </c:pt>
                <c:pt idx="23">
                  <c:v>-1.0600706713780919E-2</c:v>
                </c:pt>
              </c:numCache>
            </c:numRef>
          </c:val>
          <c:smooth val="0"/>
          <c:extLst>
            <c:ext xmlns:c16="http://schemas.microsoft.com/office/drawing/2014/chart" uri="{C3380CC4-5D6E-409C-BE32-E72D297353CC}">
              <c16:uniqueId val="{00000001-80DF-4305-B0BD-E283AB19D6B0}"/>
            </c:ext>
          </c:extLst>
        </c:ser>
        <c:dLbls>
          <c:showLegendKey val="0"/>
          <c:showVal val="0"/>
          <c:showCatName val="0"/>
          <c:showSerName val="0"/>
          <c:showPercent val="0"/>
          <c:showBubbleSize val="0"/>
        </c:dLbls>
        <c:smooth val="0"/>
        <c:axId val="630843264"/>
        <c:axId val="630844800"/>
      </c:lineChart>
      <c:catAx>
        <c:axId val="630843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844800"/>
        <c:crosses val="autoZero"/>
        <c:auto val="1"/>
        <c:lblAlgn val="ctr"/>
        <c:lblOffset val="100"/>
        <c:noMultiLvlLbl val="0"/>
      </c:catAx>
      <c:valAx>
        <c:axId val="630844800"/>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84326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lineMarker"/>
        <c:varyColors val="0"/>
        <c:ser>
          <c:idx val="0"/>
          <c:order val="0"/>
          <c:tx>
            <c:strRef>
              <c:f>'House Prices'!$Z$27</c:f>
              <c:strCache>
                <c:ptCount val="1"/>
                <c:pt idx="0">
                  <c:v>Percentage change in house prices</c:v>
                </c:pt>
              </c:strCache>
            </c:strRef>
          </c:tx>
          <c:spPr>
            <a:ln w="28575" cap="rnd">
              <a:noFill/>
              <a:round/>
            </a:ln>
            <a:effectLst/>
          </c:spPr>
          <c:marker>
            <c:symbol val="circle"/>
            <c:size val="5"/>
            <c:spPr>
              <a:solidFill>
                <a:schemeClr val="accent1"/>
              </a:solidFill>
              <a:ln w="9525">
                <a:solidFill>
                  <a:schemeClr val="accent1"/>
                </a:solidFill>
              </a:ln>
              <a:effectLst/>
            </c:spPr>
          </c:marker>
          <c:trendline>
            <c:spPr>
              <a:ln w="19050" cap="rnd">
                <a:solidFill>
                  <a:schemeClr val="accent1"/>
                </a:solidFill>
                <a:prstDash val="sysDot"/>
              </a:ln>
              <a:effectLst/>
            </c:spPr>
            <c:trendlineType val="poly"/>
            <c:order val="2"/>
            <c:dispRSqr val="1"/>
            <c:dispEq val="1"/>
            <c:trendlineLbl>
              <c:numFmt formatCode="General" sourceLinked="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trendlineLbl>
          </c:trendline>
          <c:xVal>
            <c:numRef>
              <c:f>'House Prices'!$Y$28:$Y$51</c:f>
              <c:numCache>
                <c:formatCode>0.0%</c:formatCode>
                <c:ptCount val="24"/>
                <c:pt idx="0">
                  <c:v>4.9563499981203997E-2</c:v>
                </c:pt>
                <c:pt idx="1">
                  <c:v>4.5286106695246603E-2</c:v>
                </c:pt>
                <c:pt idx="2">
                  <c:v>3.8284536473763502E-2</c:v>
                </c:pt>
                <c:pt idx="3">
                  <c:v>5.2238900693286301E-2</c:v>
                </c:pt>
                <c:pt idx="4">
                  <c:v>4.8624966525854033E-2</c:v>
                </c:pt>
                <c:pt idx="5">
                  <c:v>6.9818752386956021E-2</c:v>
                </c:pt>
                <c:pt idx="6">
                  <c:v>8.6905189451205483E-2</c:v>
                </c:pt>
                <c:pt idx="7">
                  <c:v>8.5696421929040215E-2</c:v>
                </c:pt>
                <c:pt idx="8">
                  <c:v>0.11489382640453115</c:v>
                </c:pt>
                <c:pt idx="9">
                  <c:v>0.14792675012954229</c:v>
                </c:pt>
                <c:pt idx="10">
                  <c:v>0.15176870302705811</c:v>
                </c:pt>
                <c:pt idx="11">
                  <c:v>0.10941487152097799</c:v>
                </c:pt>
                <c:pt idx="12">
                  <c:v>0.10395743903145721</c:v>
                </c:pt>
                <c:pt idx="13">
                  <c:v>0.11305689083960377</c:v>
                </c:pt>
                <c:pt idx="14">
                  <c:v>6.6058304130480486E-2</c:v>
                </c:pt>
                <c:pt idx="15">
                  <c:v>9.1639939768772775E-3</c:v>
                </c:pt>
                <c:pt idx="16">
                  <c:v>7.4782379986546551E-3</c:v>
                </c:pt>
                <c:pt idx="17">
                  <c:v>3.0022265676969166E-3</c:v>
                </c:pt>
                <c:pt idx="18">
                  <c:v>1.8112940591523647E-2</c:v>
                </c:pt>
                <c:pt idx="19">
                  <c:v>5.9291403811659463E-3</c:v>
                </c:pt>
                <c:pt idx="20">
                  <c:v>1.6670888828973204E-2</c:v>
                </c:pt>
                <c:pt idx="21">
                  <c:v>1.6544148576052596E-2</c:v>
                </c:pt>
                <c:pt idx="22">
                  <c:v>2.9736814726773492E-2</c:v>
                </c:pt>
                <c:pt idx="23">
                  <c:v>2.9270727053263938E-2</c:v>
                </c:pt>
              </c:numCache>
            </c:numRef>
          </c:xVal>
          <c:yVal>
            <c:numRef>
              <c:f>'House Prices'!$Z$28:$Z$51</c:f>
              <c:numCache>
                <c:formatCode>0.0%</c:formatCode>
                <c:ptCount val="24"/>
                <c:pt idx="0">
                  <c:v>4.8387096774193547E-2</c:v>
                </c:pt>
                <c:pt idx="1">
                  <c:v>1.5384615384615385E-2</c:v>
                </c:pt>
                <c:pt idx="2">
                  <c:v>7.575757575757576E-2</c:v>
                </c:pt>
                <c:pt idx="3">
                  <c:v>7.0422535211267609E-2</c:v>
                </c:pt>
                <c:pt idx="4">
                  <c:v>7.8947368421052627E-2</c:v>
                </c:pt>
                <c:pt idx="5">
                  <c:v>0.13414634146341464</c:v>
                </c:pt>
                <c:pt idx="6">
                  <c:v>9.6774193548387094E-2</c:v>
                </c:pt>
                <c:pt idx="7">
                  <c:v>0.10784313725490197</c:v>
                </c:pt>
                <c:pt idx="8">
                  <c:v>0.13274336283185842</c:v>
                </c:pt>
                <c:pt idx="9">
                  <c:v>0.21875</c:v>
                </c:pt>
                <c:pt idx="10">
                  <c:v>0.15384615384615385</c:v>
                </c:pt>
                <c:pt idx="11">
                  <c:v>6.1111111111111109E-2</c:v>
                </c:pt>
                <c:pt idx="12">
                  <c:v>7.3298429319371722E-2</c:v>
                </c:pt>
                <c:pt idx="13">
                  <c:v>8.7804878048780483E-2</c:v>
                </c:pt>
                <c:pt idx="14">
                  <c:v>2.2421524663677129E-2</c:v>
                </c:pt>
                <c:pt idx="15">
                  <c:v>-8.771929824561403E-3</c:v>
                </c:pt>
                <c:pt idx="16">
                  <c:v>0.11061946902654868</c:v>
                </c:pt>
                <c:pt idx="17">
                  <c:v>-2.3904382470119521E-2</c:v>
                </c:pt>
                <c:pt idx="18">
                  <c:v>4.0816326530612249E-3</c:v>
                </c:pt>
                <c:pt idx="19">
                  <c:v>2.032520325203252E-2</c:v>
                </c:pt>
                <c:pt idx="20">
                  <c:v>6.3745019920318724E-2</c:v>
                </c:pt>
                <c:pt idx="21">
                  <c:v>3.7453183520599252E-2</c:v>
                </c:pt>
                <c:pt idx="22">
                  <c:v>2.1660649819494584E-2</c:v>
                </c:pt>
                <c:pt idx="23">
                  <c:v>-1.0600706713780919E-2</c:v>
                </c:pt>
              </c:numCache>
            </c:numRef>
          </c:yVal>
          <c:smooth val="0"/>
          <c:extLst>
            <c:ext xmlns:c16="http://schemas.microsoft.com/office/drawing/2014/chart" uri="{C3380CC4-5D6E-409C-BE32-E72D297353CC}">
              <c16:uniqueId val="{00000001-2D17-4AE6-8EC5-CFBB90168596}"/>
            </c:ext>
          </c:extLst>
        </c:ser>
        <c:dLbls>
          <c:showLegendKey val="0"/>
          <c:showVal val="0"/>
          <c:showCatName val="0"/>
          <c:showSerName val="0"/>
          <c:showPercent val="0"/>
          <c:showBubbleSize val="0"/>
        </c:dLbls>
        <c:axId val="630655616"/>
        <c:axId val="630661888"/>
      </c:scatterChart>
      <c:valAx>
        <c:axId val="63065561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200" b="0" i="0" baseline="0">
                    <a:effectLst/>
                  </a:rPr>
                  <a:t>Percentage change in lending to purchase dwellings</a:t>
                </a:r>
                <a:endParaRPr lang="en-GB" sz="700">
                  <a:effectLst/>
                </a:endParaRP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661888"/>
        <c:crosses val="autoZero"/>
        <c:crossBetween val="midCat"/>
      </c:valAx>
      <c:valAx>
        <c:axId val="6306618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200"/>
                  <a:t>Percentage change in house prices</a:t>
                </a:r>
              </a:p>
            </c:rich>
          </c:tx>
          <c:overlay val="0"/>
          <c:spPr>
            <a:noFill/>
            <a:ln>
              <a:noFill/>
            </a:ln>
            <a:effectLst/>
          </c:sp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655616"/>
        <c:crosses val="autoZero"/>
        <c:crossBetween val="midCat"/>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Lending to individuals and financial corporations relative to non-financial corporations</a:t>
            </a:r>
          </a:p>
        </c:rich>
      </c:tx>
      <c:overlay val="0"/>
      <c:spPr>
        <a:noFill/>
        <a:ln>
          <a:noFill/>
        </a:ln>
        <a:effectLst/>
      </c:spPr>
    </c:title>
    <c:autoTitleDeleted val="0"/>
    <c:plotArea>
      <c:layout/>
      <c:lineChart>
        <c:grouping val="standard"/>
        <c:varyColors val="0"/>
        <c:ser>
          <c:idx val="2"/>
          <c:order val="0"/>
          <c:tx>
            <c:strRef>
              <c:f>'All Fin Inst'!$K$10</c:f>
              <c:strCache>
                <c:ptCount val="1"/>
                <c:pt idx="0">
                  <c:v>Lending to individuals relative to private non-financial businesses</c:v>
                </c:pt>
              </c:strCache>
            </c:strRef>
          </c:tx>
          <c:spPr>
            <a:ln w="28575" cap="rnd">
              <a:solidFill>
                <a:srgbClr val="FF0000"/>
              </a:solidFill>
              <a:round/>
            </a:ln>
            <a:effectLst/>
          </c:spPr>
          <c:marker>
            <c:symbol val="none"/>
          </c:marker>
          <c:cat>
            <c:numRef>
              <c:f>'All Fin Inst'!$J$11:$J$31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Inst'!$K$11:$K$31</c:f>
              <c:numCache>
                <c:formatCode>0</c:formatCode>
                <c:ptCount val="21"/>
                <c:pt idx="0">
                  <c:v>247.46014227284107</c:v>
                </c:pt>
                <c:pt idx="1">
                  <c:v>258.92013317104602</c:v>
                </c:pt>
                <c:pt idx="2">
                  <c:v>252.87322842185901</c:v>
                </c:pt>
                <c:pt idx="3">
                  <c:v>249.28032998269907</c:v>
                </c:pt>
                <c:pt idx="4">
                  <c:v>269.20249561099803</c:v>
                </c:pt>
                <c:pt idx="5">
                  <c:v>277.53192433220318</c:v>
                </c:pt>
                <c:pt idx="6">
                  <c:v>301.30008480126025</c:v>
                </c:pt>
                <c:pt idx="7">
                  <c:v>293.12807280218323</c:v>
                </c:pt>
                <c:pt idx="8">
                  <c:v>278.80329951592262</c:v>
                </c:pt>
                <c:pt idx="9">
                  <c:v>261.60685036759378</c:v>
                </c:pt>
                <c:pt idx="10">
                  <c:v>250.02657017280384</c:v>
                </c:pt>
                <c:pt idx="11">
                  <c:v>254.06237173146923</c:v>
                </c:pt>
                <c:pt idx="12">
                  <c:v>270.35554125833426</c:v>
                </c:pt>
                <c:pt idx="13">
                  <c:v>290.79450379913629</c:v>
                </c:pt>
                <c:pt idx="14">
                  <c:v>310.47367173346152</c:v>
                </c:pt>
                <c:pt idx="15">
                  <c:v>335.68284607157591</c:v>
                </c:pt>
                <c:pt idx="16">
                  <c:v>353.39931637607458</c:v>
                </c:pt>
                <c:pt idx="17">
                  <c:v>379.62681054533465</c:v>
                </c:pt>
                <c:pt idx="18">
                  <c:v>393.79044588362524</c:v>
                </c:pt>
                <c:pt idx="19">
                  <c:v>387.01379866125029</c:v>
                </c:pt>
                <c:pt idx="20">
                  <c:v>402.00378374685181</c:v>
                </c:pt>
              </c:numCache>
            </c:numRef>
          </c:val>
          <c:smooth val="0"/>
          <c:extLst>
            <c:ext xmlns:c16="http://schemas.microsoft.com/office/drawing/2014/chart" uri="{C3380CC4-5D6E-409C-BE32-E72D297353CC}">
              <c16:uniqueId val="{00000000-F140-462D-B23E-E0A786A13B70}"/>
            </c:ext>
          </c:extLst>
        </c:ser>
        <c:ser>
          <c:idx val="0"/>
          <c:order val="1"/>
          <c:tx>
            <c:strRef>
              <c:f>'All Fin Inst'!$L$10</c:f>
              <c:strCache>
                <c:ptCount val="1"/>
                <c:pt idx="0">
                  <c:v>Lending to other financial institutions relative to lending to private non-financial businesses</c:v>
                </c:pt>
              </c:strCache>
            </c:strRef>
          </c:tx>
          <c:spPr>
            <a:ln w="28575" cap="rnd">
              <a:solidFill>
                <a:srgbClr val="FFC000"/>
              </a:solidFill>
              <a:round/>
            </a:ln>
            <a:effectLst/>
          </c:spPr>
          <c:marker>
            <c:symbol val="none"/>
          </c:marker>
          <c:cat>
            <c:numRef>
              <c:f>'All Fin Inst'!$J$11:$J$31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Inst'!$L$11:$L$31</c:f>
              <c:numCache>
                <c:formatCode>0</c:formatCode>
                <c:ptCount val="21"/>
                <c:pt idx="0">
                  <c:v>83.073334508119927</c:v>
                </c:pt>
                <c:pt idx="1">
                  <c:v>89.889113624973149</c:v>
                </c:pt>
                <c:pt idx="2">
                  <c:v>91.730241317671087</c:v>
                </c:pt>
                <c:pt idx="3">
                  <c:v>93.835579329849068</c:v>
                </c:pt>
                <c:pt idx="4">
                  <c:v>92.707961754481687</c:v>
                </c:pt>
                <c:pt idx="5">
                  <c:v>88.353243131911668</c:v>
                </c:pt>
                <c:pt idx="6">
                  <c:v>95.912941396595272</c:v>
                </c:pt>
                <c:pt idx="7">
                  <c:v>99.110679281747423</c:v>
                </c:pt>
                <c:pt idx="8">
                  <c:v>112.58948940037466</c:v>
                </c:pt>
                <c:pt idx="9">
                  <c:v>113.46526869189032</c:v>
                </c:pt>
                <c:pt idx="10">
                  <c:v>129.80551344415196</c:v>
                </c:pt>
                <c:pt idx="11">
                  <c:v>160.17875773679614</c:v>
                </c:pt>
                <c:pt idx="12">
                  <c:v>170.04227892602336</c:v>
                </c:pt>
                <c:pt idx="13">
                  <c:v>169.43424984871609</c:v>
                </c:pt>
                <c:pt idx="14">
                  <c:v>150.13995489254901</c:v>
                </c:pt>
                <c:pt idx="15">
                  <c:v>158.08694517518822</c:v>
                </c:pt>
                <c:pt idx="16">
                  <c:v>140.91659261140026</c:v>
                </c:pt>
                <c:pt idx="17">
                  <c:v>135.72876009463249</c:v>
                </c:pt>
                <c:pt idx="18">
                  <c:v>139.83989458898404</c:v>
                </c:pt>
                <c:pt idx="19">
                  <c:v>149.21115264519372</c:v>
                </c:pt>
                <c:pt idx="20">
                  <c:v>145.53218658631113</c:v>
                </c:pt>
              </c:numCache>
            </c:numRef>
          </c:val>
          <c:smooth val="0"/>
          <c:extLst>
            <c:ext xmlns:c16="http://schemas.microsoft.com/office/drawing/2014/chart" uri="{C3380CC4-5D6E-409C-BE32-E72D297353CC}">
              <c16:uniqueId val="{00000001-F140-462D-B23E-E0A786A13B70}"/>
            </c:ext>
          </c:extLst>
        </c:ser>
        <c:dLbls>
          <c:showLegendKey val="0"/>
          <c:showVal val="0"/>
          <c:showCatName val="0"/>
          <c:showSerName val="0"/>
          <c:showPercent val="0"/>
          <c:showBubbleSize val="0"/>
        </c:dLbls>
        <c:smooth val="0"/>
        <c:axId val="630692480"/>
        <c:axId val="630710656"/>
      </c:lineChart>
      <c:catAx>
        <c:axId val="6306924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710656"/>
        <c:crosses val="autoZero"/>
        <c:auto val="1"/>
        <c:lblAlgn val="ctr"/>
        <c:lblOffset val="100"/>
        <c:noMultiLvlLbl val="0"/>
      </c:catAx>
      <c:valAx>
        <c:axId val="6307106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Percentage</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6924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areaChart>
        <c:grouping val="stacked"/>
        <c:varyColors val="0"/>
        <c:ser>
          <c:idx val="0"/>
          <c:order val="0"/>
          <c:tx>
            <c:strRef>
              <c:f>'Money Supply'!$F$2:$F$3</c:f>
              <c:strCache>
                <c:ptCount val="2"/>
                <c:pt idx="0">
                  <c:v>Cash (notes and coins in circulation) in sterling billions [LPQVQKT / 1000]. </c:v>
                </c:pt>
              </c:strCache>
            </c:strRef>
          </c:tx>
          <c:spPr>
            <a:solidFill>
              <a:srgbClr val="C4E1FC"/>
            </a:solidFill>
            <a:ln>
              <a:noFill/>
            </a:ln>
            <a:effectLst/>
          </c:spPr>
          <c:cat>
            <c:numRef>
              <c:f>'Money Supply'!$E$4:$E$86</c:f>
              <c:numCache>
                <c:formatCode>[$-809]dd\ mmmm\ yyyy;@</c:formatCode>
                <c:ptCount val="83"/>
                <c:pt idx="0">
                  <c:v>35795</c:v>
                </c:pt>
                <c:pt idx="1">
                  <c:v>35885</c:v>
                </c:pt>
                <c:pt idx="2">
                  <c:v>35976</c:v>
                </c:pt>
                <c:pt idx="3">
                  <c:v>36068</c:v>
                </c:pt>
                <c:pt idx="4">
                  <c:v>36160</c:v>
                </c:pt>
                <c:pt idx="5">
                  <c:v>36250</c:v>
                </c:pt>
                <c:pt idx="6">
                  <c:v>36341</c:v>
                </c:pt>
                <c:pt idx="7">
                  <c:v>36433</c:v>
                </c:pt>
                <c:pt idx="8">
                  <c:v>36525</c:v>
                </c:pt>
                <c:pt idx="9">
                  <c:v>36616</c:v>
                </c:pt>
                <c:pt idx="10">
                  <c:v>36707</c:v>
                </c:pt>
                <c:pt idx="11">
                  <c:v>36799</c:v>
                </c:pt>
                <c:pt idx="12">
                  <c:v>36891</c:v>
                </c:pt>
                <c:pt idx="13">
                  <c:v>36981</c:v>
                </c:pt>
                <c:pt idx="14">
                  <c:v>37072</c:v>
                </c:pt>
                <c:pt idx="15">
                  <c:v>37164</c:v>
                </c:pt>
                <c:pt idx="16">
                  <c:v>37256</c:v>
                </c:pt>
                <c:pt idx="17">
                  <c:v>37346</c:v>
                </c:pt>
                <c:pt idx="18">
                  <c:v>37437</c:v>
                </c:pt>
                <c:pt idx="19">
                  <c:v>37529</c:v>
                </c:pt>
                <c:pt idx="20">
                  <c:v>37621</c:v>
                </c:pt>
                <c:pt idx="21">
                  <c:v>37711</c:v>
                </c:pt>
                <c:pt idx="22">
                  <c:v>37802</c:v>
                </c:pt>
                <c:pt idx="23">
                  <c:v>37894</c:v>
                </c:pt>
                <c:pt idx="24">
                  <c:v>37986</c:v>
                </c:pt>
                <c:pt idx="25">
                  <c:v>38077</c:v>
                </c:pt>
                <c:pt idx="26">
                  <c:v>38168</c:v>
                </c:pt>
                <c:pt idx="27">
                  <c:v>38260</c:v>
                </c:pt>
                <c:pt idx="28">
                  <c:v>38352</c:v>
                </c:pt>
                <c:pt idx="29">
                  <c:v>38442</c:v>
                </c:pt>
                <c:pt idx="30">
                  <c:v>38533</c:v>
                </c:pt>
                <c:pt idx="31">
                  <c:v>38625</c:v>
                </c:pt>
                <c:pt idx="32">
                  <c:v>38717</c:v>
                </c:pt>
                <c:pt idx="33">
                  <c:v>38807</c:v>
                </c:pt>
                <c:pt idx="34">
                  <c:v>38898</c:v>
                </c:pt>
                <c:pt idx="35">
                  <c:v>38990</c:v>
                </c:pt>
                <c:pt idx="36">
                  <c:v>39082</c:v>
                </c:pt>
                <c:pt idx="37">
                  <c:v>39172</c:v>
                </c:pt>
                <c:pt idx="38">
                  <c:v>39263</c:v>
                </c:pt>
                <c:pt idx="39">
                  <c:v>39355</c:v>
                </c:pt>
                <c:pt idx="40">
                  <c:v>39447</c:v>
                </c:pt>
                <c:pt idx="41">
                  <c:v>39538</c:v>
                </c:pt>
                <c:pt idx="42">
                  <c:v>39629</c:v>
                </c:pt>
                <c:pt idx="43">
                  <c:v>39721</c:v>
                </c:pt>
                <c:pt idx="44">
                  <c:v>39813</c:v>
                </c:pt>
                <c:pt idx="45">
                  <c:v>39903</c:v>
                </c:pt>
                <c:pt idx="46">
                  <c:v>39994</c:v>
                </c:pt>
                <c:pt idx="47">
                  <c:v>40086</c:v>
                </c:pt>
                <c:pt idx="48">
                  <c:v>40178</c:v>
                </c:pt>
                <c:pt idx="49">
                  <c:v>40268</c:v>
                </c:pt>
                <c:pt idx="50">
                  <c:v>40359</c:v>
                </c:pt>
                <c:pt idx="51">
                  <c:v>40451</c:v>
                </c:pt>
                <c:pt idx="52">
                  <c:v>40543</c:v>
                </c:pt>
                <c:pt idx="53">
                  <c:v>40633</c:v>
                </c:pt>
                <c:pt idx="54">
                  <c:v>40724</c:v>
                </c:pt>
                <c:pt idx="55">
                  <c:v>40816</c:v>
                </c:pt>
                <c:pt idx="56">
                  <c:v>40908</c:v>
                </c:pt>
                <c:pt idx="57">
                  <c:v>40999</c:v>
                </c:pt>
                <c:pt idx="58">
                  <c:v>41090</c:v>
                </c:pt>
                <c:pt idx="59">
                  <c:v>41182</c:v>
                </c:pt>
                <c:pt idx="60">
                  <c:v>41274</c:v>
                </c:pt>
                <c:pt idx="61">
                  <c:v>41364</c:v>
                </c:pt>
                <c:pt idx="62">
                  <c:v>41455</c:v>
                </c:pt>
                <c:pt idx="63">
                  <c:v>41547</c:v>
                </c:pt>
                <c:pt idx="64">
                  <c:v>41639</c:v>
                </c:pt>
                <c:pt idx="65">
                  <c:v>41729</c:v>
                </c:pt>
                <c:pt idx="66">
                  <c:v>41820</c:v>
                </c:pt>
                <c:pt idx="67">
                  <c:v>41912</c:v>
                </c:pt>
                <c:pt idx="68">
                  <c:v>42004</c:v>
                </c:pt>
                <c:pt idx="69">
                  <c:v>42094</c:v>
                </c:pt>
                <c:pt idx="70">
                  <c:v>42185</c:v>
                </c:pt>
                <c:pt idx="71">
                  <c:v>42277</c:v>
                </c:pt>
                <c:pt idx="72">
                  <c:v>42369</c:v>
                </c:pt>
                <c:pt idx="73">
                  <c:v>42460</c:v>
                </c:pt>
                <c:pt idx="74">
                  <c:v>42551</c:v>
                </c:pt>
                <c:pt idx="75">
                  <c:v>42643</c:v>
                </c:pt>
                <c:pt idx="76">
                  <c:v>42735</c:v>
                </c:pt>
                <c:pt idx="77">
                  <c:v>42825</c:v>
                </c:pt>
                <c:pt idx="78">
                  <c:v>42916</c:v>
                </c:pt>
                <c:pt idx="79">
                  <c:v>43008</c:v>
                </c:pt>
                <c:pt idx="80">
                  <c:v>43100</c:v>
                </c:pt>
                <c:pt idx="81">
                  <c:v>43190</c:v>
                </c:pt>
                <c:pt idx="82">
                  <c:v>43281</c:v>
                </c:pt>
              </c:numCache>
            </c:numRef>
          </c:cat>
          <c:val>
            <c:numRef>
              <c:f>'Money Supply'!$F$4:$F$86</c:f>
              <c:numCache>
                <c:formatCode>#,##0</c:formatCode>
                <c:ptCount val="83"/>
                <c:pt idx="0">
                  <c:v>22.242000000000001</c:v>
                </c:pt>
                <c:pt idx="1">
                  <c:v>21.361999999999998</c:v>
                </c:pt>
                <c:pt idx="2">
                  <c:v>21.829000000000001</c:v>
                </c:pt>
                <c:pt idx="3">
                  <c:v>22.050999999999998</c:v>
                </c:pt>
                <c:pt idx="4">
                  <c:v>23.704999999999998</c:v>
                </c:pt>
                <c:pt idx="5">
                  <c:v>23.045000000000002</c:v>
                </c:pt>
                <c:pt idx="6">
                  <c:v>23.202999999999999</c:v>
                </c:pt>
                <c:pt idx="7">
                  <c:v>23.297000000000001</c:v>
                </c:pt>
                <c:pt idx="8">
                  <c:v>26.268999999999998</c:v>
                </c:pt>
                <c:pt idx="9">
                  <c:v>25.064</c:v>
                </c:pt>
                <c:pt idx="10">
                  <c:v>25.533000000000001</c:v>
                </c:pt>
                <c:pt idx="11">
                  <c:v>26.111000000000001</c:v>
                </c:pt>
                <c:pt idx="12">
                  <c:v>28.173999999999999</c:v>
                </c:pt>
                <c:pt idx="13">
                  <c:v>26.373000000000001</c:v>
                </c:pt>
                <c:pt idx="14">
                  <c:v>27.367999999999999</c:v>
                </c:pt>
                <c:pt idx="15">
                  <c:v>28.16</c:v>
                </c:pt>
                <c:pt idx="16">
                  <c:v>30.45</c:v>
                </c:pt>
                <c:pt idx="17">
                  <c:v>29.991</c:v>
                </c:pt>
                <c:pt idx="18">
                  <c:v>29.969000000000001</c:v>
                </c:pt>
                <c:pt idx="19">
                  <c:v>29.905000000000001</c:v>
                </c:pt>
                <c:pt idx="20">
                  <c:v>31.888999999999999</c:v>
                </c:pt>
                <c:pt idx="21">
                  <c:v>31.484000000000002</c:v>
                </c:pt>
                <c:pt idx="22">
                  <c:v>32.07</c:v>
                </c:pt>
                <c:pt idx="23">
                  <c:v>32.368000000000002</c:v>
                </c:pt>
                <c:pt idx="24">
                  <c:v>34.01</c:v>
                </c:pt>
                <c:pt idx="25">
                  <c:v>33.284999999999997</c:v>
                </c:pt>
                <c:pt idx="26">
                  <c:v>33.356999999999999</c:v>
                </c:pt>
                <c:pt idx="27">
                  <c:v>34.064</c:v>
                </c:pt>
                <c:pt idx="28">
                  <c:v>36.409999999999997</c:v>
                </c:pt>
                <c:pt idx="29">
                  <c:v>35.383000000000003</c:v>
                </c:pt>
                <c:pt idx="30">
                  <c:v>35.356999999999999</c:v>
                </c:pt>
                <c:pt idx="31">
                  <c:v>36.036999999999999</c:v>
                </c:pt>
                <c:pt idx="32">
                  <c:v>38.508000000000003</c:v>
                </c:pt>
                <c:pt idx="33">
                  <c:v>38.058999999999997</c:v>
                </c:pt>
                <c:pt idx="34">
                  <c:v>38.258000000000003</c:v>
                </c:pt>
                <c:pt idx="35">
                  <c:v>38.429000000000002</c:v>
                </c:pt>
                <c:pt idx="36">
                  <c:v>40.545999999999999</c:v>
                </c:pt>
                <c:pt idx="37">
                  <c:v>39.393999999999998</c:v>
                </c:pt>
                <c:pt idx="38">
                  <c:v>40.128999999999998</c:v>
                </c:pt>
                <c:pt idx="39">
                  <c:v>40.899000000000001</c:v>
                </c:pt>
                <c:pt idx="40">
                  <c:v>43.039000000000001</c:v>
                </c:pt>
                <c:pt idx="41">
                  <c:v>42.186</c:v>
                </c:pt>
                <c:pt idx="42">
                  <c:v>42.814</c:v>
                </c:pt>
                <c:pt idx="43">
                  <c:v>42.645000000000003</c:v>
                </c:pt>
                <c:pt idx="44">
                  <c:v>46.250999999999998</c:v>
                </c:pt>
                <c:pt idx="45">
                  <c:v>46.426000000000002</c:v>
                </c:pt>
                <c:pt idx="46">
                  <c:v>46.341000000000001</c:v>
                </c:pt>
                <c:pt idx="47">
                  <c:v>47.286999999999999</c:v>
                </c:pt>
                <c:pt idx="48">
                  <c:v>50.253</c:v>
                </c:pt>
                <c:pt idx="49">
                  <c:v>50.164000000000001</c:v>
                </c:pt>
                <c:pt idx="50">
                  <c:v>50.244</c:v>
                </c:pt>
                <c:pt idx="51">
                  <c:v>49.753999999999998</c:v>
                </c:pt>
                <c:pt idx="52">
                  <c:v>52.292999999999999</c:v>
                </c:pt>
                <c:pt idx="53">
                  <c:v>51.414999999999999</c:v>
                </c:pt>
                <c:pt idx="54">
                  <c:v>52.399000000000001</c:v>
                </c:pt>
                <c:pt idx="55">
                  <c:v>53.232999999999997</c:v>
                </c:pt>
                <c:pt idx="56">
                  <c:v>55.005000000000003</c:v>
                </c:pt>
                <c:pt idx="57">
                  <c:v>54.76</c:v>
                </c:pt>
                <c:pt idx="58">
                  <c:v>55.616</c:v>
                </c:pt>
                <c:pt idx="59">
                  <c:v>55.822000000000003</c:v>
                </c:pt>
                <c:pt idx="60">
                  <c:v>57.82</c:v>
                </c:pt>
                <c:pt idx="61">
                  <c:v>57.719000000000001</c:v>
                </c:pt>
                <c:pt idx="62">
                  <c:v>58.905999999999999</c:v>
                </c:pt>
                <c:pt idx="63">
                  <c:v>59.128999999999998</c:v>
                </c:pt>
                <c:pt idx="64">
                  <c:v>60.53</c:v>
                </c:pt>
                <c:pt idx="65">
                  <c:v>59.970999999999997</c:v>
                </c:pt>
                <c:pt idx="66">
                  <c:v>61.137</c:v>
                </c:pt>
                <c:pt idx="67">
                  <c:v>61.753</c:v>
                </c:pt>
                <c:pt idx="68">
                  <c:v>63.805999999999997</c:v>
                </c:pt>
                <c:pt idx="69">
                  <c:v>63.475000000000001</c:v>
                </c:pt>
                <c:pt idx="70">
                  <c:v>64.295000000000002</c:v>
                </c:pt>
                <c:pt idx="71">
                  <c:v>65.135999999999996</c:v>
                </c:pt>
                <c:pt idx="72">
                  <c:v>67.811999999999998</c:v>
                </c:pt>
                <c:pt idx="73">
                  <c:v>67.778000000000006</c:v>
                </c:pt>
                <c:pt idx="74">
                  <c:v>68.968999999999994</c:v>
                </c:pt>
                <c:pt idx="75">
                  <c:v>71.242999999999995</c:v>
                </c:pt>
                <c:pt idx="76">
                  <c:v>74.09</c:v>
                </c:pt>
                <c:pt idx="77">
                  <c:v>73.507999999999996</c:v>
                </c:pt>
                <c:pt idx="78">
                  <c:v>74.287000000000006</c:v>
                </c:pt>
                <c:pt idx="79">
                  <c:v>74.825000000000003</c:v>
                </c:pt>
                <c:pt idx="80">
                  <c:v>74.75</c:v>
                </c:pt>
                <c:pt idx="81">
                  <c:v>73.334000000000003</c:v>
                </c:pt>
                <c:pt idx="82">
                  <c:v>73.581999999999994</c:v>
                </c:pt>
              </c:numCache>
            </c:numRef>
          </c:val>
          <c:extLst>
            <c:ext xmlns:c16="http://schemas.microsoft.com/office/drawing/2014/chart" uri="{C3380CC4-5D6E-409C-BE32-E72D297353CC}">
              <c16:uniqueId val="{00000000-F468-4A9A-9840-0000C2D3D9C2}"/>
            </c:ext>
          </c:extLst>
        </c:ser>
        <c:ser>
          <c:idx val="1"/>
          <c:order val="1"/>
          <c:tx>
            <c:strRef>
              <c:f>'Money Supply'!$G$2:$G$3</c:f>
              <c:strCache>
                <c:ptCount val="2"/>
                <c:pt idx="0">
                  <c:v>Bank Deposits</c:v>
                </c:pt>
              </c:strCache>
            </c:strRef>
          </c:tx>
          <c:spPr>
            <a:solidFill>
              <a:srgbClr val="FCB6C2"/>
            </a:solidFill>
            <a:ln>
              <a:noFill/>
            </a:ln>
            <a:effectLst/>
          </c:spPr>
          <c:cat>
            <c:numRef>
              <c:f>'Money Supply'!$E$4:$E$86</c:f>
              <c:numCache>
                <c:formatCode>[$-809]dd\ mmmm\ yyyy;@</c:formatCode>
                <c:ptCount val="83"/>
                <c:pt idx="0">
                  <c:v>35795</c:v>
                </c:pt>
                <c:pt idx="1">
                  <c:v>35885</c:v>
                </c:pt>
                <c:pt idx="2">
                  <c:v>35976</c:v>
                </c:pt>
                <c:pt idx="3">
                  <c:v>36068</c:v>
                </c:pt>
                <c:pt idx="4">
                  <c:v>36160</c:v>
                </c:pt>
                <c:pt idx="5">
                  <c:v>36250</c:v>
                </c:pt>
                <c:pt idx="6">
                  <c:v>36341</c:v>
                </c:pt>
                <c:pt idx="7">
                  <c:v>36433</c:v>
                </c:pt>
                <c:pt idx="8">
                  <c:v>36525</c:v>
                </c:pt>
                <c:pt idx="9">
                  <c:v>36616</c:v>
                </c:pt>
                <c:pt idx="10">
                  <c:v>36707</c:v>
                </c:pt>
                <c:pt idx="11">
                  <c:v>36799</c:v>
                </c:pt>
                <c:pt idx="12">
                  <c:v>36891</c:v>
                </c:pt>
                <c:pt idx="13">
                  <c:v>36981</c:v>
                </c:pt>
                <c:pt idx="14">
                  <c:v>37072</c:v>
                </c:pt>
                <c:pt idx="15">
                  <c:v>37164</c:v>
                </c:pt>
                <c:pt idx="16">
                  <c:v>37256</c:v>
                </c:pt>
                <c:pt idx="17">
                  <c:v>37346</c:v>
                </c:pt>
                <c:pt idx="18">
                  <c:v>37437</c:v>
                </c:pt>
                <c:pt idx="19">
                  <c:v>37529</c:v>
                </c:pt>
                <c:pt idx="20">
                  <c:v>37621</c:v>
                </c:pt>
                <c:pt idx="21">
                  <c:v>37711</c:v>
                </c:pt>
                <c:pt idx="22">
                  <c:v>37802</c:v>
                </c:pt>
                <c:pt idx="23">
                  <c:v>37894</c:v>
                </c:pt>
                <c:pt idx="24">
                  <c:v>37986</c:v>
                </c:pt>
                <c:pt idx="25">
                  <c:v>38077</c:v>
                </c:pt>
                <c:pt idx="26">
                  <c:v>38168</c:v>
                </c:pt>
                <c:pt idx="27">
                  <c:v>38260</c:v>
                </c:pt>
                <c:pt idx="28">
                  <c:v>38352</c:v>
                </c:pt>
                <c:pt idx="29">
                  <c:v>38442</c:v>
                </c:pt>
                <c:pt idx="30">
                  <c:v>38533</c:v>
                </c:pt>
                <c:pt idx="31">
                  <c:v>38625</c:v>
                </c:pt>
                <c:pt idx="32">
                  <c:v>38717</c:v>
                </c:pt>
                <c:pt idx="33">
                  <c:v>38807</c:v>
                </c:pt>
                <c:pt idx="34">
                  <c:v>38898</c:v>
                </c:pt>
                <c:pt idx="35">
                  <c:v>38990</c:v>
                </c:pt>
                <c:pt idx="36">
                  <c:v>39082</c:v>
                </c:pt>
                <c:pt idx="37">
                  <c:v>39172</c:v>
                </c:pt>
                <c:pt idx="38">
                  <c:v>39263</c:v>
                </c:pt>
                <c:pt idx="39">
                  <c:v>39355</c:v>
                </c:pt>
                <c:pt idx="40">
                  <c:v>39447</c:v>
                </c:pt>
                <c:pt idx="41">
                  <c:v>39538</c:v>
                </c:pt>
                <c:pt idx="42">
                  <c:v>39629</c:v>
                </c:pt>
                <c:pt idx="43">
                  <c:v>39721</c:v>
                </c:pt>
                <c:pt idx="44">
                  <c:v>39813</c:v>
                </c:pt>
                <c:pt idx="45">
                  <c:v>39903</c:v>
                </c:pt>
                <c:pt idx="46">
                  <c:v>39994</c:v>
                </c:pt>
                <c:pt idx="47">
                  <c:v>40086</c:v>
                </c:pt>
                <c:pt idx="48">
                  <c:v>40178</c:v>
                </c:pt>
                <c:pt idx="49">
                  <c:v>40268</c:v>
                </c:pt>
                <c:pt idx="50">
                  <c:v>40359</c:v>
                </c:pt>
                <c:pt idx="51">
                  <c:v>40451</c:v>
                </c:pt>
                <c:pt idx="52">
                  <c:v>40543</c:v>
                </c:pt>
                <c:pt idx="53">
                  <c:v>40633</c:v>
                </c:pt>
                <c:pt idx="54">
                  <c:v>40724</c:v>
                </c:pt>
                <c:pt idx="55">
                  <c:v>40816</c:v>
                </c:pt>
                <c:pt idx="56">
                  <c:v>40908</c:v>
                </c:pt>
                <c:pt idx="57">
                  <c:v>40999</c:v>
                </c:pt>
                <c:pt idx="58">
                  <c:v>41090</c:v>
                </c:pt>
                <c:pt idx="59">
                  <c:v>41182</c:v>
                </c:pt>
                <c:pt idx="60">
                  <c:v>41274</c:v>
                </c:pt>
                <c:pt idx="61">
                  <c:v>41364</c:v>
                </c:pt>
                <c:pt idx="62">
                  <c:v>41455</c:v>
                </c:pt>
                <c:pt idx="63">
                  <c:v>41547</c:v>
                </c:pt>
                <c:pt idx="64">
                  <c:v>41639</c:v>
                </c:pt>
                <c:pt idx="65">
                  <c:v>41729</c:v>
                </c:pt>
                <c:pt idx="66">
                  <c:v>41820</c:v>
                </c:pt>
                <c:pt idx="67">
                  <c:v>41912</c:v>
                </c:pt>
                <c:pt idx="68">
                  <c:v>42004</c:v>
                </c:pt>
                <c:pt idx="69">
                  <c:v>42094</c:v>
                </c:pt>
                <c:pt idx="70">
                  <c:v>42185</c:v>
                </c:pt>
                <c:pt idx="71">
                  <c:v>42277</c:v>
                </c:pt>
                <c:pt idx="72">
                  <c:v>42369</c:v>
                </c:pt>
                <c:pt idx="73">
                  <c:v>42460</c:v>
                </c:pt>
                <c:pt idx="74">
                  <c:v>42551</c:v>
                </c:pt>
                <c:pt idx="75">
                  <c:v>42643</c:v>
                </c:pt>
                <c:pt idx="76">
                  <c:v>42735</c:v>
                </c:pt>
                <c:pt idx="77">
                  <c:v>42825</c:v>
                </c:pt>
                <c:pt idx="78">
                  <c:v>42916</c:v>
                </c:pt>
                <c:pt idx="79">
                  <c:v>43008</c:v>
                </c:pt>
                <c:pt idx="80">
                  <c:v>43100</c:v>
                </c:pt>
                <c:pt idx="81">
                  <c:v>43190</c:v>
                </c:pt>
                <c:pt idx="82">
                  <c:v>43281</c:v>
                </c:pt>
              </c:numCache>
            </c:numRef>
          </c:cat>
          <c:val>
            <c:numRef>
              <c:f>'Money Supply'!$G$4:$G$86</c:f>
              <c:numCache>
                <c:formatCode>#,##0</c:formatCode>
                <c:ptCount val="83"/>
                <c:pt idx="0">
                  <c:v>685.77300000000002</c:v>
                </c:pt>
                <c:pt idx="1">
                  <c:v>705.93799999999999</c:v>
                </c:pt>
                <c:pt idx="2">
                  <c:v>722.82100000000003</c:v>
                </c:pt>
                <c:pt idx="3">
                  <c:v>734.90899999999999</c:v>
                </c:pt>
                <c:pt idx="4">
                  <c:v>747.447</c:v>
                </c:pt>
                <c:pt idx="5">
                  <c:v>755.85799999999995</c:v>
                </c:pt>
                <c:pt idx="6">
                  <c:v>764.17</c:v>
                </c:pt>
                <c:pt idx="7">
                  <c:v>756.96100000000001</c:v>
                </c:pt>
                <c:pt idx="8">
                  <c:v>777.27300000000002</c:v>
                </c:pt>
                <c:pt idx="9">
                  <c:v>798.077</c:v>
                </c:pt>
                <c:pt idx="10">
                  <c:v>816.12599999999998</c:v>
                </c:pt>
                <c:pt idx="11">
                  <c:v>822.75300000000004</c:v>
                </c:pt>
                <c:pt idx="12">
                  <c:v>839.56500000000005</c:v>
                </c:pt>
                <c:pt idx="13">
                  <c:v>859.58</c:v>
                </c:pt>
                <c:pt idx="14">
                  <c:v>875.54100000000005</c:v>
                </c:pt>
                <c:pt idx="15">
                  <c:v>885.274</c:v>
                </c:pt>
                <c:pt idx="16">
                  <c:v>890.56700000000001</c:v>
                </c:pt>
                <c:pt idx="17">
                  <c:v>903.48099999999999</c:v>
                </c:pt>
                <c:pt idx="18">
                  <c:v>921.13199999999995</c:v>
                </c:pt>
                <c:pt idx="19">
                  <c:v>933.90099999999995</c:v>
                </c:pt>
                <c:pt idx="20">
                  <c:v>950.73699999999997</c:v>
                </c:pt>
                <c:pt idx="21">
                  <c:v>964.80600000000004</c:v>
                </c:pt>
                <c:pt idx="22">
                  <c:v>990.346</c:v>
                </c:pt>
                <c:pt idx="23">
                  <c:v>991.80100000000004</c:v>
                </c:pt>
                <c:pt idx="24">
                  <c:v>1019.499</c:v>
                </c:pt>
                <c:pt idx="25">
                  <c:v>1030.3820000000001</c:v>
                </c:pt>
                <c:pt idx="26">
                  <c:v>1051.329</c:v>
                </c:pt>
                <c:pt idx="27">
                  <c:v>1065.52</c:v>
                </c:pt>
                <c:pt idx="28">
                  <c:v>1094.6869999999999</c:v>
                </c:pt>
                <c:pt idx="29">
                  <c:v>1122.2449999999999</c:v>
                </c:pt>
                <c:pt idx="30">
                  <c:v>1152.4190000000001</c:v>
                </c:pt>
                <c:pt idx="31">
                  <c:v>1168.0630000000001</c:v>
                </c:pt>
                <c:pt idx="32">
                  <c:v>1204.175</c:v>
                </c:pt>
                <c:pt idx="33">
                  <c:v>1234.6130000000001</c:v>
                </c:pt>
                <c:pt idx="34">
                  <c:v>1277.33</c:v>
                </c:pt>
                <c:pt idx="35">
                  <c:v>1308.194</c:v>
                </c:pt>
                <c:pt idx="36">
                  <c:v>1330.171</c:v>
                </c:pt>
                <c:pt idx="37">
                  <c:v>1360.0340000000001</c:v>
                </c:pt>
                <c:pt idx="38">
                  <c:v>1404.048</c:v>
                </c:pt>
                <c:pt idx="39">
                  <c:v>1427.5419999999999</c:v>
                </c:pt>
                <c:pt idx="40">
                  <c:v>1448.395</c:v>
                </c:pt>
                <c:pt idx="41">
                  <c:v>1463.827</c:v>
                </c:pt>
                <c:pt idx="42">
                  <c:v>1472.894</c:v>
                </c:pt>
                <c:pt idx="43">
                  <c:v>1463.1369999999999</c:v>
                </c:pt>
                <c:pt idx="44">
                  <c:v>1479.6489999999999</c:v>
                </c:pt>
                <c:pt idx="45">
                  <c:v>1499.289</c:v>
                </c:pt>
                <c:pt idx="46">
                  <c:v>1503.068</c:v>
                </c:pt>
                <c:pt idx="47">
                  <c:v>1484.9870000000001</c:v>
                </c:pt>
                <c:pt idx="48">
                  <c:v>1489.3520000000001</c:v>
                </c:pt>
                <c:pt idx="49">
                  <c:v>1510.222</c:v>
                </c:pt>
                <c:pt idx="50">
                  <c:v>1513.7139999999999</c:v>
                </c:pt>
                <c:pt idx="51">
                  <c:v>1510.633</c:v>
                </c:pt>
                <c:pt idx="52">
                  <c:v>1518.568</c:v>
                </c:pt>
                <c:pt idx="53">
                  <c:v>1502.1030000000001</c:v>
                </c:pt>
                <c:pt idx="54">
                  <c:v>1502.2809999999999</c:v>
                </c:pt>
                <c:pt idx="55">
                  <c:v>1510.6590000000001</c:v>
                </c:pt>
                <c:pt idx="56">
                  <c:v>1505.7190000000001</c:v>
                </c:pt>
                <c:pt idx="57">
                  <c:v>1534.777</c:v>
                </c:pt>
                <c:pt idx="58">
                  <c:v>1558.125</c:v>
                </c:pt>
                <c:pt idx="59">
                  <c:v>1578.9359999999999</c:v>
                </c:pt>
                <c:pt idx="60">
                  <c:v>1583.0550000000001</c:v>
                </c:pt>
                <c:pt idx="61">
                  <c:v>1611.67</c:v>
                </c:pt>
                <c:pt idx="62">
                  <c:v>1627.2349999999999</c:v>
                </c:pt>
                <c:pt idx="63">
                  <c:v>1640.442</c:v>
                </c:pt>
                <c:pt idx="64">
                  <c:v>1653.8420000000001</c:v>
                </c:pt>
                <c:pt idx="65">
                  <c:v>1678.0050000000001</c:v>
                </c:pt>
                <c:pt idx="66">
                  <c:v>1700.7909999999999</c:v>
                </c:pt>
                <c:pt idx="67">
                  <c:v>1711.5509999999999</c:v>
                </c:pt>
                <c:pt idx="68">
                  <c:v>1727.723</c:v>
                </c:pt>
                <c:pt idx="69">
                  <c:v>1750.86</c:v>
                </c:pt>
                <c:pt idx="70">
                  <c:v>1763.2159999999999</c:v>
                </c:pt>
                <c:pt idx="71">
                  <c:v>1775.7260000000001</c:v>
                </c:pt>
                <c:pt idx="72">
                  <c:v>1797.2619999999999</c:v>
                </c:pt>
                <c:pt idx="73">
                  <c:v>1827.4480000000001</c:v>
                </c:pt>
                <c:pt idx="74">
                  <c:v>1874.886</c:v>
                </c:pt>
                <c:pt idx="75">
                  <c:v>1917.835</c:v>
                </c:pt>
                <c:pt idx="76">
                  <c:v>1930.9670000000001</c:v>
                </c:pt>
                <c:pt idx="77">
                  <c:v>1961.183</c:v>
                </c:pt>
                <c:pt idx="78">
                  <c:v>1991.364</c:v>
                </c:pt>
                <c:pt idx="79">
                  <c:v>2009.2550000000001</c:v>
                </c:pt>
                <c:pt idx="80">
                  <c:v>2030.0350000000001</c:v>
                </c:pt>
                <c:pt idx="81">
                  <c:v>2040.855</c:v>
                </c:pt>
                <c:pt idx="82">
                  <c:v>2069.2420000000002</c:v>
                </c:pt>
              </c:numCache>
            </c:numRef>
          </c:val>
          <c:extLst>
            <c:ext xmlns:c16="http://schemas.microsoft.com/office/drawing/2014/chart" uri="{C3380CC4-5D6E-409C-BE32-E72D297353CC}">
              <c16:uniqueId val="{00000001-F468-4A9A-9840-0000C2D3D9C2}"/>
            </c:ext>
          </c:extLst>
        </c:ser>
        <c:dLbls>
          <c:showLegendKey val="0"/>
          <c:showVal val="0"/>
          <c:showCatName val="0"/>
          <c:showSerName val="0"/>
          <c:showPercent val="0"/>
          <c:showBubbleSize val="0"/>
        </c:dLbls>
        <c:axId val="611470336"/>
        <c:axId val="611484416"/>
      </c:areaChart>
      <c:lineChart>
        <c:grouping val="standard"/>
        <c:varyColors val="0"/>
        <c:ser>
          <c:idx val="2"/>
          <c:order val="2"/>
          <c:tx>
            <c:strRef>
              <c:f>'Money Supply'!$H$2:$H$3</c:f>
              <c:strCache>
                <c:ptCount val="2"/>
                <c:pt idx="0">
                  <c:v>Quarterly amounts outstanding of UK resident monetary financial institutions' sterling M4 liabilities to Private sector excluding intermediate OFCs (in sterling billions) not seasonally adjusted [RPQB3DQ/1000]</c:v>
                </c:pt>
              </c:strCache>
            </c:strRef>
          </c:tx>
          <c:spPr>
            <a:ln w="28575" cap="rnd">
              <a:solidFill>
                <a:schemeClr val="tx1"/>
              </a:solidFill>
              <a:round/>
            </a:ln>
            <a:effectLst/>
          </c:spPr>
          <c:marker>
            <c:symbol val="none"/>
          </c:marker>
          <c:cat>
            <c:numRef>
              <c:f>'Money Supply'!$E$4:$E$86</c:f>
              <c:numCache>
                <c:formatCode>[$-809]dd\ mmmm\ yyyy;@</c:formatCode>
                <c:ptCount val="83"/>
                <c:pt idx="0">
                  <c:v>35795</c:v>
                </c:pt>
                <c:pt idx="1">
                  <c:v>35885</c:v>
                </c:pt>
                <c:pt idx="2">
                  <c:v>35976</c:v>
                </c:pt>
                <c:pt idx="3">
                  <c:v>36068</c:v>
                </c:pt>
                <c:pt idx="4">
                  <c:v>36160</c:v>
                </c:pt>
                <c:pt idx="5">
                  <c:v>36250</c:v>
                </c:pt>
                <c:pt idx="6">
                  <c:v>36341</c:v>
                </c:pt>
                <c:pt idx="7">
                  <c:v>36433</c:v>
                </c:pt>
                <c:pt idx="8">
                  <c:v>36525</c:v>
                </c:pt>
                <c:pt idx="9">
                  <c:v>36616</c:v>
                </c:pt>
                <c:pt idx="10">
                  <c:v>36707</c:v>
                </c:pt>
                <c:pt idx="11">
                  <c:v>36799</c:v>
                </c:pt>
                <c:pt idx="12">
                  <c:v>36891</c:v>
                </c:pt>
                <c:pt idx="13">
                  <c:v>36981</c:v>
                </c:pt>
                <c:pt idx="14">
                  <c:v>37072</c:v>
                </c:pt>
                <c:pt idx="15">
                  <c:v>37164</c:v>
                </c:pt>
                <c:pt idx="16">
                  <c:v>37256</c:v>
                </c:pt>
                <c:pt idx="17">
                  <c:v>37346</c:v>
                </c:pt>
                <c:pt idx="18">
                  <c:v>37437</c:v>
                </c:pt>
                <c:pt idx="19">
                  <c:v>37529</c:v>
                </c:pt>
                <c:pt idx="20">
                  <c:v>37621</c:v>
                </c:pt>
                <c:pt idx="21">
                  <c:v>37711</c:v>
                </c:pt>
                <c:pt idx="22">
                  <c:v>37802</c:v>
                </c:pt>
                <c:pt idx="23">
                  <c:v>37894</c:v>
                </c:pt>
                <c:pt idx="24">
                  <c:v>37986</c:v>
                </c:pt>
                <c:pt idx="25">
                  <c:v>38077</c:v>
                </c:pt>
                <c:pt idx="26">
                  <c:v>38168</c:v>
                </c:pt>
                <c:pt idx="27">
                  <c:v>38260</c:v>
                </c:pt>
                <c:pt idx="28">
                  <c:v>38352</c:v>
                </c:pt>
                <c:pt idx="29">
                  <c:v>38442</c:v>
                </c:pt>
                <c:pt idx="30">
                  <c:v>38533</c:v>
                </c:pt>
                <c:pt idx="31">
                  <c:v>38625</c:v>
                </c:pt>
                <c:pt idx="32">
                  <c:v>38717</c:v>
                </c:pt>
                <c:pt idx="33">
                  <c:v>38807</c:v>
                </c:pt>
                <c:pt idx="34">
                  <c:v>38898</c:v>
                </c:pt>
                <c:pt idx="35">
                  <c:v>38990</c:v>
                </c:pt>
                <c:pt idx="36">
                  <c:v>39082</c:v>
                </c:pt>
                <c:pt idx="37">
                  <c:v>39172</c:v>
                </c:pt>
                <c:pt idx="38">
                  <c:v>39263</c:v>
                </c:pt>
                <c:pt idx="39">
                  <c:v>39355</c:v>
                </c:pt>
                <c:pt idx="40">
                  <c:v>39447</c:v>
                </c:pt>
                <c:pt idx="41">
                  <c:v>39538</c:v>
                </c:pt>
                <c:pt idx="42">
                  <c:v>39629</c:v>
                </c:pt>
                <c:pt idx="43">
                  <c:v>39721</c:v>
                </c:pt>
                <c:pt idx="44">
                  <c:v>39813</c:v>
                </c:pt>
                <c:pt idx="45">
                  <c:v>39903</c:v>
                </c:pt>
                <c:pt idx="46">
                  <c:v>39994</c:v>
                </c:pt>
                <c:pt idx="47">
                  <c:v>40086</c:v>
                </c:pt>
                <c:pt idx="48">
                  <c:v>40178</c:v>
                </c:pt>
                <c:pt idx="49">
                  <c:v>40268</c:v>
                </c:pt>
                <c:pt idx="50">
                  <c:v>40359</c:v>
                </c:pt>
                <c:pt idx="51">
                  <c:v>40451</c:v>
                </c:pt>
                <c:pt idx="52">
                  <c:v>40543</c:v>
                </c:pt>
                <c:pt idx="53">
                  <c:v>40633</c:v>
                </c:pt>
                <c:pt idx="54">
                  <c:v>40724</c:v>
                </c:pt>
                <c:pt idx="55">
                  <c:v>40816</c:v>
                </c:pt>
                <c:pt idx="56">
                  <c:v>40908</c:v>
                </c:pt>
                <c:pt idx="57">
                  <c:v>40999</c:v>
                </c:pt>
                <c:pt idx="58">
                  <c:v>41090</c:v>
                </c:pt>
                <c:pt idx="59">
                  <c:v>41182</c:v>
                </c:pt>
                <c:pt idx="60">
                  <c:v>41274</c:v>
                </c:pt>
                <c:pt idx="61">
                  <c:v>41364</c:v>
                </c:pt>
                <c:pt idx="62">
                  <c:v>41455</c:v>
                </c:pt>
                <c:pt idx="63">
                  <c:v>41547</c:v>
                </c:pt>
                <c:pt idx="64">
                  <c:v>41639</c:v>
                </c:pt>
                <c:pt idx="65">
                  <c:v>41729</c:v>
                </c:pt>
                <c:pt idx="66">
                  <c:v>41820</c:v>
                </c:pt>
                <c:pt idx="67">
                  <c:v>41912</c:v>
                </c:pt>
                <c:pt idx="68">
                  <c:v>42004</c:v>
                </c:pt>
                <c:pt idx="69">
                  <c:v>42094</c:v>
                </c:pt>
                <c:pt idx="70">
                  <c:v>42185</c:v>
                </c:pt>
                <c:pt idx="71">
                  <c:v>42277</c:v>
                </c:pt>
                <c:pt idx="72">
                  <c:v>42369</c:v>
                </c:pt>
                <c:pt idx="73">
                  <c:v>42460</c:v>
                </c:pt>
                <c:pt idx="74">
                  <c:v>42551</c:v>
                </c:pt>
                <c:pt idx="75">
                  <c:v>42643</c:v>
                </c:pt>
                <c:pt idx="76">
                  <c:v>42735</c:v>
                </c:pt>
                <c:pt idx="77">
                  <c:v>42825</c:v>
                </c:pt>
                <c:pt idx="78">
                  <c:v>42916</c:v>
                </c:pt>
                <c:pt idx="79">
                  <c:v>43008</c:v>
                </c:pt>
                <c:pt idx="80">
                  <c:v>43100</c:v>
                </c:pt>
                <c:pt idx="81">
                  <c:v>43190</c:v>
                </c:pt>
                <c:pt idx="82">
                  <c:v>43281</c:v>
                </c:pt>
              </c:numCache>
            </c:numRef>
          </c:cat>
          <c:val>
            <c:numRef>
              <c:f>'Money Supply'!$H$4:$H$86</c:f>
              <c:numCache>
                <c:formatCode>#,##0</c:formatCode>
                <c:ptCount val="83"/>
                <c:pt idx="0">
                  <c:v>708.01499999999999</c:v>
                </c:pt>
                <c:pt idx="1">
                  <c:v>727.3</c:v>
                </c:pt>
                <c:pt idx="2">
                  <c:v>744.65</c:v>
                </c:pt>
                <c:pt idx="3">
                  <c:v>756.96</c:v>
                </c:pt>
                <c:pt idx="4">
                  <c:v>771.15200000000004</c:v>
                </c:pt>
                <c:pt idx="5">
                  <c:v>778.90300000000002</c:v>
                </c:pt>
                <c:pt idx="6">
                  <c:v>787.37300000000005</c:v>
                </c:pt>
                <c:pt idx="7">
                  <c:v>780.25800000000004</c:v>
                </c:pt>
                <c:pt idx="8">
                  <c:v>803.54200000000003</c:v>
                </c:pt>
                <c:pt idx="9">
                  <c:v>823.14099999999996</c:v>
                </c:pt>
                <c:pt idx="10">
                  <c:v>841.65899999999999</c:v>
                </c:pt>
                <c:pt idx="11">
                  <c:v>848.86400000000003</c:v>
                </c:pt>
                <c:pt idx="12">
                  <c:v>867.73900000000003</c:v>
                </c:pt>
                <c:pt idx="13">
                  <c:v>885.95299999999997</c:v>
                </c:pt>
                <c:pt idx="14">
                  <c:v>902.90899999999999</c:v>
                </c:pt>
                <c:pt idx="15">
                  <c:v>913.43399999999997</c:v>
                </c:pt>
                <c:pt idx="16">
                  <c:v>921.01700000000005</c:v>
                </c:pt>
                <c:pt idx="17">
                  <c:v>933.47199999999998</c:v>
                </c:pt>
                <c:pt idx="18">
                  <c:v>951.101</c:v>
                </c:pt>
                <c:pt idx="19">
                  <c:v>963.80600000000004</c:v>
                </c:pt>
                <c:pt idx="20">
                  <c:v>982.62599999999998</c:v>
                </c:pt>
                <c:pt idx="21">
                  <c:v>996.29</c:v>
                </c:pt>
                <c:pt idx="22">
                  <c:v>1022.4160000000001</c:v>
                </c:pt>
                <c:pt idx="23">
                  <c:v>1024.1690000000001</c:v>
                </c:pt>
                <c:pt idx="24">
                  <c:v>1053.509</c:v>
                </c:pt>
                <c:pt idx="25">
                  <c:v>1063.6669999999999</c:v>
                </c:pt>
                <c:pt idx="26">
                  <c:v>1084.6859999999999</c:v>
                </c:pt>
                <c:pt idx="27">
                  <c:v>1099.5840000000001</c:v>
                </c:pt>
                <c:pt idx="28">
                  <c:v>1131.097</c:v>
                </c:pt>
                <c:pt idx="29">
                  <c:v>1157.6279999999999</c:v>
                </c:pt>
                <c:pt idx="30">
                  <c:v>1187.7760000000001</c:v>
                </c:pt>
                <c:pt idx="31">
                  <c:v>1204.0999999999999</c:v>
                </c:pt>
                <c:pt idx="32">
                  <c:v>1242.683</c:v>
                </c:pt>
                <c:pt idx="33">
                  <c:v>1272.672</c:v>
                </c:pt>
                <c:pt idx="34">
                  <c:v>1315.588</c:v>
                </c:pt>
                <c:pt idx="35">
                  <c:v>1346.623</c:v>
                </c:pt>
                <c:pt idx="36">
                  <c:v>1370.7170000000001</c:v>
                </c:pt>
                <c:pt idx="37">
                  <c:v>1399.4280000000001</c:v>
                </c:pt>
                <c:pt idx="38">
                  <c:v>1444.1769999999999</c:v>
                </c:pt>
                <c:pt idx="39">
                  <c:v>1468.441</c:v>
                </c:pt>
                <c:pt idx="40">
                  <c:v>1491.434</c:v>
                </c:pt>
                <c:pt idx="41">
                  <c:v>1506.0129999999999</c:v>
                </c:pt>
                <c:pt idx="42">
                  <c:v>1515.7080000000001</c:v>
                </c:pt>
                <c:pt idx="43">
                  <c:v>1505.7819999999999</c:v>
                </c:pt>
                <c:pt idx="44">
                  <c:v>1525.9</c:v>
                </c:pt>
                <c:pt idx="45">
                  <c:v>1545.7149999999999</c:v>
                </c:pt>
                <c:pt idx="46">
                  <c:v>1549.4090000000001</c:v>
                </c:pt>
                <c:pt idx="47">
                  <c:v>1532.2739999999999</c:v>
                </c:pt>
                <c:pt idx="48">
                  <c:v>1539.605</c:v>
                </c:pt>
                <c:pt idx="49">
                  <c:v>1560.386</c:v>
                </c:pt>
                <c:pt idx="50">
                  <c:v>1563.9580000000001</c:v>
                </c:pt>
                <c:pt idx="51">
                  <c:v>1560.3869999999999</c:v>
                </c:pt>
                <c:pt idx="52">
                  <c:v>1570.8610000000001</c:v>
                </c:pt>
                <c:pt idx="53">
                  <c:v>1553.518</c:v>
                </c:pt>
                <c:pt idx="54">
                  <c:v>1554.68</c:v>
                </c:pt>
                <c:pt idx="55">
                  <c:v>1563.8920000000001</c:v>
                </c:pt>
                <c:pt idx="56">
                  <c:v>1560.7239999999999</c:v>
                </c:pt>
                <c:pt idx="57">
                  <c:v>1589.537</c:v>
                </c:pt>
                <c:pt idx="58">
                  <c:v>1613.741</c:v>
                </c:pt>
                <c:pt idx="59">
                  <c:v>1634.758</c:v>
                </c:pt>
                <c:pt idx="60">
                  <c:v>1640.875</c:v>
                </c:pt>
                <c:pt idx="61">
                  <c:v>1669.3889999999999</c:v>
                </c:pt>
                <c:pt idx="62">
                  <c:v>1686.1410000000001</c:v>
                </c:pt>
                <c:pt idx="63">
                  <c:v>1699.5709999999999</c:v>
                </c:pt>
                <c:pt idx="64">
                  <c:v>1714.3720000000001</c:v>
                </c:pt>
                <c:pt idx="65">
                  <c:v>1737.9760000000001</c:v>
                </c:pt>
                <c:pt idx="66">
                  <c:v>1761.9280000000001</c:v>
                </c:pt>
                <c:pt idx="67">
                  <c:v>1773.3040000000001</c:v>
                </c:pt>
                <c:pt idx="68">
                  <c:v>1791.529</c:v>
                </c:pt>
                <c:pt idx="69">
                  <c:v>1814.335</c:v>
                </c:pt>
                <c:pt idx="70">
                  <c:v>1827.511</c:v>
                </c:pt>
                <c:pt idx="71">
                  <c:v>1840.8620000000001</c:v>
                </c:pt>
                <c:pt idx="72">
                  <c:v>1865.0740000000001</c:v>
                </c:pt>
                <c:pt idx="73">
                  <c:v>1895.2260000000001</c:v>
                </c:pt>
                <c:pt idx="74">
                  <c:v>1943.855</c:v>
                </c:pt>
                <c:pt idx="75">
                  <c:v>1989.078</c:v>
                </c:pt>
                <c:pt idx="76">
                  <c:v>2005.057</c:v>
                </c:pt>
                <c:pt idx="77">
                  <c:v>2034.691</c:v>
                </c:pt>
                <c:pt idx="78">
                  <c:v>2065.6509999999998</c:v>
                </c:pt>
                <c:pt idx="79">
                  <c:v>2084.08</c:v>
                </c:pt>
                <c:pt idx="80">
                  <c:v>2104.7849999999999</c:v>
                </c:pt>
                <c:pt idx="81">
                  <c:v>2114.1889999999999</c:v>
                </c:pt>
                <c:pt idx="82">
                  <c:v>2142.8240000000001</c:v>
                </c:pt>
              </c:numCache>
            </c:numRef>
          </c:val>
          <c:smooth val="0"/>
          <c:extLst>
            <c:ext xmlns:c16="http://schemas.microsoft.com/office/drawing/2014/chart" uri="{C3380CC4-5D6E-409C-BE32-E72D297353CC}">
              <c16:uniqueId val="{00000002-F468-4A9A-9840-0000C2D3D9C2}"/>
            </c:ext>
          </c:extLst>
        </c:ser>
        <c:dLbls>
          <c:showLegendKey val="0"/>
          <c:showVal val="0"/>
          <c:showCatName val="0"/>
          <c:showSerName val="0"/>
          <c:showPercent val="0"/>
          <c:showBubbleSize val="0"/>
        </c:dLbls>
        <c:marker val="1"/>
        <c:smooth val="0"/>
        <c:axId val="611470336"/>
        <c:axId val="611484416"/>
      </c:lineChart>
      <c:dateAx>
        <c:axId val="611470336"/>
        <c:scaling>
          <c:orientation val="minMax"/>
        </c:scaling>
        <c:delete val="0"/>
        <c:axPos val="b"/>
        <c:numFmt formatCode="dd/mm/yyyy;@" sourceLinked="0"/>
        <c:majorTickMark val="out"/>
        <c:minorTickMark val="none"/>
        <c:tickLblPos val="nextTo"/>
        <c:spPr>
          <a:noFill/>
          <a:ln w="9525" cap="flat" cmpd="sng" algn="ctr">
            <a:solidFill>
              <a:schemeClr val="tx1">
                <a:lumMod val="15000"/>
                <a:lumOff val="85000"/>
              </a:schemeClr>
            </a:solidFill>
            <a:round/>
          </a:ln>
          <a:effectLst/>
        </c:spPr>
        <c:txPr>
          <a:bodyPr rot="-5400000" spcFirstLastPara="1" vertOverflow="ellipsis"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n-US"/>
          </a:p>
        </c:txPr>
        <c:crossAx val="611484416"/>
        <c:crosses val="autoZero"/>
        <c:auto val="0"/>
        <c:lblOffset val="100"/>
        <c:baseTimeUnit val="months"/>
        <c:majorUnit val="12"/>
        <c:majorTimeUnit val="months"/>
      </c:dateAx>
      <c:valAx>
        <c:axId val="6114844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50"/>
                  <a:t>£ billions</a:t>
                </a:r>
              </a:p>
            </c:rich>
          </c:tx>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1470336"/>
        <c:crosses val="autoZero"/>
        <c:crossBetween val="between"/>
      </c:valAx>
      <c:spPr>
        <a:noFill/>
        <a:ln>
          <a:noFill/>
        </a:ln>
        <a:effectLst/>
      </c:spPr>
    </c:plotArea>
    <c:legend>
      <c:legendPos val="b"/>
      <c:layout>
        <c:manualLayout>
          <c:xMode val="edge"/>
          <c:yMode val="edge"/>
          <c:x val="5.2649174667120095E-2"/>
          <c:y val="0.68519743691256474"/>
          <c:w val="0.92350759224009027"/>
          <c:h val="0.2539887681637560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zero"/>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'All Fin Inst'!$V$10:$V$11</c:f>
              <c:strCache>
                <c:ptCount val="2"/>
                <c:pt idx="0">
                  <c:v>Annual percentage change in total lending by United Kingdom financial institutions</c:v>
                </c:pt>
              </c:strCache>
            </c:strRef>
          </c:tx>
          <c:spPr>
            <a:ln w="28575" cap="rnd">
              <a:solidFill>
                <a:srgbClr val="FF0000"/>
              </a:solidFill>
              <a:round/>
            </a:ln>
            <a:effectLst/>
          </c:spPr>
          <c:marker>
            <c:symbol val="none"/>
          </c:marker>
          <c:cat>
            <c:numRef>
              <c:f>'All Fin Inst'!$U$12:$U$30</c:f>
              <c:numCache>
                <c:formatCode>General</c:formatCode>
                <c:ptCount val="19"/>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numCache>
            </c:numRef>
          </c:cat>
          <c:val>
            <c:numRef>
              <c:f>'All Fin Inst'!$V$12:$V$30</c:f>
              <c:numCache>
                <c:formatCode>0.0_ ;[Red]\-0.0\ </c:formatCode>
                <c:ptCount val="19"/>
                <c:pt idx="0">
                  <c:v>7.9418954290782633</c:v>
                </c:pt>
                <c:pt idx="1">
                  <c:v>11.004282711034229</c:v>
                </c:pt>
                <c:pt idx="2">
                  <c:v>9.977477579133156</c:v>
                </c:pt>
                <c:pt idx="3">
                  <c:v>7.5373836301642863</c:v>
                </c:pt>
                <c:pt idx="4">
                  <c:v>11.23411719178748</c:v>
                </c:pt>
                <c:pt idx="5">
                  <c:v>12.002942375281823</c:v>
                </c:pt>
                <c:pt idx="6">
                  <c:v>12.510415083982368</c:v>
                </c:pt>
                <c:pt idx="7">
                  <c:v>14.296993817960654</c:v>
                </c:pt>
                <c:pt idx="8">
                  <c:v>12.851892753045952</c:v>
                </c:pt>
                <c:pt idx="9">
                  <c:v>12.783016319031654</c:v>
                </c:pt>
                <c:pt idx="10">
                  <c:v>5.2182463631844884</c:v>
                </c:pt>
                <c:pt idx="11">
                  <c:v>-0.95148412811631311</c:v>
                </c:pt>
                <c:pt idx="12">
                  <c:v>-4.122359100232698</c:v>
                </c:pt>
                <c:pt idx="13">
                  <c:v>-5.271413078699613</c:v>
                </c:pt>
                <c:pt idx="14">
                  <c:v>-1.4600569375146317</c:v>
                </c:pt>
                <c:pt idx="15">
                  <c:v>-3.0806046674393439</c:v>
                </c:pt>
                <c:pt idx="16">
                  <c:v>-1.1223356174792218</c:v>
                </c:pt>
                <c:pt idx="17">
                  <c:v>2.9217554151095606</c:v>
                </c:pt>
                <c:pt idx="18">
                  <c:v>6.0417427874150125</c:v>
                </c:pt>
              </c:numCache>
            </c:numRef>
          </c:val>
          <c:smooth val="0"/>
          <c:extLst>
            <c:ext xmlns:c16="http://schemas.microsoft.com/office/drawing/2014/chart" uri="{C3380CC4-5D6E-409C-BE32-E72D297353CC}">
              <c16:uniqueId val="{00000000-03B3-433A-B60C-0632FF302AD0}"/>
            </c:ext>
          </c:extLst>
        </c:ser>
        <c:dLbls>
          <c:showLegendKey val="0"/>
          <c:showVal val="0"/>
          <c:showCatName val="0"/>
          <c:showSerName val="0"/>
          <c:showPercent val="0"/>
          <c:showBubbleSize val="0"/>
        </c:dLbls>
        <c:smooth val="0"/>
        <c:axId val="612472320"/>
        <c:axId val="612473856"/>
      </c:lineChart>
      <c:catAx>
        <c:axId val="6124723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2473856"/>
        <c:crosses val="autoZero"/>
        <c:auto val="1"/>
        <c:lblAlgn val="ctr"/>
        <c:lblOffset val="100"/>
        <c:noMultiLvlLbl val="0"/>
      </c:catAx>
      <c:valAx>
        <c:axId val="6124738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r>
                  <a:rPr lang="en-GB" sz="1050"/>
                  <a:t>Annual Percentage Change</a:t>
                </a:r>
              </a:p>
            </c:rich>
          </c:tx>
          <c:overlay val="0"/>
          <c:spPr>
            <a:noFill/>
            <a:ln>
              <a:noFill/>
            </a:ln>
            <a:effectLst/>
          </c:spPr>
        </c:title>
        <c:numFmt formatCode="0.0_ ;[Red]\-0.0\ "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12472320"/>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0"/>
          <c:tx>
            <c:strRef>
              <c:f>'Money Supply'!$L$3</c:f>
              <c:strCache>
                <c:ptCount val="1"/>
                <c:pt idx="0">
                  <c:v>Growth in bank deposits during year as a percentage of the money supply at the beginning of the year</c:v>
                </c:pt>
              </c:strCache>
            </c:strRef>
          </c:tx>
          <c:spPr>
            <a:ln w="28575" cap="rnd">
              <a:solidFill>
                <a:srgbClr val="FF0000"/>
              </a:solidFill>
              <a:round/>
            </a:ln>
            <a:effectLst/>
          </c:spPr>
          <c:marker>
            <c:symbol val="none"/>
          </c:marker>
          <c:cat>
            <c:numRef>
              <c:f>'Money Supply'!$K$4:$K$23</c:f>
              <c:numCache>
                <c:formatCode>General</c:formatCode>
                <c:ptCount val="20"/>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numCache>
            </c:numRef>
          </c:cat>
          <c:val>
            <c:numRef>
              <c:f>'Money Supply'!$L$4:$L$23</c:f>
              <c:numCache>
                <c:formatCode>0.0%</c:formatCode>
                <c:ptCount val="20"/>
                <c:pt idx="0">
                  <c:v>8.7108323976186952E-2</c:v>
                </c:pt>
                <c:pt idx="1">
                  <c:v>3.867719982571529E-2</c:v>
                </c:pt>
                <c:pt idx="2">
                  <c:v>7.7521772352907498E-2</c:v>
                </c:pt>
                <c:pt idx="3">
                  <c:v>5.8775737865879023E-2</c:v>
                </c:pt>
                <c:pt idx="4">
                  <c:v>6.5329955907437107E-2</c:v>
                </c:pt>
                <c:pt idx="5">
                  <c:v>6.9977794196367696E-2</c:v>
                </c:pt>
                <c:pt idx="6">
                  <c:v>7.1369110278127673E-2</c:v>
                </c:pt>
                <c:pt idx="7">
                  <c:v>9.6798064180171992E-2</c:v>
                </c:pt>
                <c:pt idx="8">
                  <c:v>0.10139029824983524</c:v>
                </c:pt>
                <c:pt idx="9">
                  <c:v>8.6249751042702466E-2</c:v>
                </c:pt>
                <c:pt idx="10">
                  <c:v>2.095567085100648E-2</c:v>
                </c:pt>
                <c:pt idx="11">
                  <c:v>6.3588701749787008E-3</c:v>
                </c:pt>
                <c:pt idx="12">
                  <c:v>1.8976295868096037E-2</c:v>
                </c:pt>
                <c:pt idx="13">
                  <c:v>-8.179590683071258E-3</c:v>
                </c:pt>
                <c:pt idx="14">
                  <c:v>4.9551362060172077E-2</c:v>
                </c:pt>
                <c:pt idx="15">
                  <c:v>4.3139788222747007E-2</c:v>
                </c:pt>
                <c:pt idx="16">
                  <c:v>4.309508088092899E-2</c:v>
                </c:pt>
                <c:pt idx="17">
                  <c:v>3.8815447586949471E-2</c:v>
                </c:pt>
                <c:pt idx="18">
                  <c:v>7.1688844517697414E-2</c:v>
                </c:pt>
                <c:pt idx="19">
                  <c:v>4.9409069168607177E-2</c:v>
                </c:pt>
              </c:numCache>
            </c:numRef>
          </c:val>
          <c:smooth val="0"/>
          <c:extLst>
            <c:ext xmlns:c16="http://schemas.microsoft.com/office/drawing/2014/chart" uri="{C3380CC4-5D6E-409C-BE32-E72D297353CC}">
              <c16:uniqueId val="{00000000-8A90-4D5D-B263-AE5E87BD24E2}"/>
            </c:ext>
          </c:extLst>
        </c:ser>
        <c:dLbls>
          <c:showLegendKey val="0"/>
          <c:showVal val="0"/>
          <c:showCatName val="0"/>
          <c:showSerName val="0"/>
          <c:showPercent val="0"/>
          <c:showBubbleSize val="0"/>
        </c:dLbls>
        <c:smooth val="0"/>
        <c:axId val="580435328"/>
        <c:axId val="625816704"/>
      </c:lineChart>
      <c:catAx>
        <c:axId val="5804353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5816704"/>
        <c:crosses val="autoZero"/>
        <c:auto val="1"/>
        <c:lblAlgn val="ctr"/>
        <c:lblOffset val="100"/>
        <c:noMultiLvlLbl val="0"/>
      </c:catAx>
      <c:valAx>
        <c:axId val="62581670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8043532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dPt>
            <c:idx val="0"/>
            <c:bubble3D val="0"/>
            <c:spPr>
              <a:solidFill>
                <a:srgbClr val="FF8B8B"/>
              </a:solidFill>
              <a:ln w="19050">
                <a:solidFill>
                  <a:schemeClr val="lt1"/>
                </a:solidFill>
              </a:ln>
              <a:effectLst/>
            </c:spPr>
            <c:extLst>
              <c:ext xmlns:c16="http://schemas.microsoft.com/office/drawing/2014/chart" uri="{C3380CC4-5D6E-409C-BE32-E72D297353CC}">
                <c16:uniqueId val="{00000001-7797-4E1E-B3DA-0B3255E1C2FF}"/>
              </c:ext>
            </c:extLst>
          </c:dPt>
          <c:dPt>
            <c:idx val="1"/>
            <c:bubble3D val="0"/>
            <c:spPr>
              <a:solidFill>
                <a:srgbClr val="FFCDD2"/>
              </a:solidFill>
              <a:ln w="19050">
                <a:solidFill>
                  <a:schemeClr val="lt1"/>
                </a:solidFill>
              </a:ln>
              <a:effectLst/>
            </c:spPr>
            <c:extLst>
              <c:ext xmlns:c16="http://schemas.microsoft.com/office/drawing/2014/chart" uri="{C3380CC4-5D6E-409C-BE32-E72D297353CC}">
                <c16:uniqueId val="{00000003-7797-4E1E-B3DA-0B3255E1C2FF}"/>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7797-4E1E-B3DA-0B3255E1C2FF}"/>
              </c:ext>
            </c:extLst>
          </c:dPt>
          <c:dPt>
            <c:idx val="3"/>
            <c:bubble3D val="0"/>
            <c:spPr>
              <a:solidFill>
                <a:srgbClr val="FFFFA3"/>
              </a:solidFill>
              <a:ln w="19050">
                <a:solidFill>
                  <a:schemeClr val="lt1"/>
                </a:solidFill>
              </a:ln>
              <a:effectLst/>
            </c:spPr>
            <c:extLst>
              <c:ext xmlns:c16="http://schemas.microsoft.com/office/drawing/2014/chart" uri="{C3380CC4-5D6E-409C-BE32-E72D297353CC}">
                <c16:uniqueId val="{00000007-7797-4E1E-B3DA-0B3255E1C2FF}"/>
              </c:ext>
            </c:extLst>
          </c:dPt>
          <c:dPt>
            <c:idx val="4"/>
            <c:bubble3D val="0"/>
            <c:spPr>
              <a:solidFill>
                <a:srgbClr val="C4E1FC"/>
              </a:solidFill>
              <a:ln w="19050">
                <a:solidFill>
                  <a:schemeClr val="lt1"/>
                </a:solidFill>
              </a:ln>
              <a:effectLst/>
            </c:spPr>
            <c:extLst>
              <c:ext xmlns:c16="http://schemas.microsoft.com/office/drawing/2014/chart" uri="{C3380CC4-5D6E-409C-BE32-E72D297353CC}">
                <c16:uniqueId val="{00000009-7797-4E1E-B3DA-0B3255E1C2FF}"/>
              </c:ext>
            </c:extLst>
          </c:dPt>
          <c:dPt>
            <c:idx val="5"/>
            <c:bubble3D val="0"/>
            <c:spPr>
              <a:solidFill>
                <a:srgbClr val="0070C0"/>
              </a:solidFill>
              <a:ln w="19050">
                <a:solidFill>
                  <a:schemeClr val="lt1"/>
                </a:solidFill>
              </a:ln>
              <a:effectLst/>
            </c:spPr>
            <c:extLst>
              <c:ext xmlns:c16="http://schemas.microsoft.com/office/drawing/2014/chart" uri="{C3380CC4-5D6E-409C-BE32-E72D297353CC}">
                <c16:uniqueId val="{0000000B-7797-4E1E-B3DA-0B3255E1C2FF}"/>
              </c:ext>
            </c:extLst>
          </c:dPt>
          <c:dLbls>
            <c:dLbl>
              <c:idx val="5"/>
              <c:layout>
                <c:manualLayout>
                  <c:x val="0.23753077286788299"/>
                  <c:y val="2.5647513038324467E-3"/>
                </c:manualLayout>
              </c:layout>
              <c:showLegendKey val="0"/>
              <c:showVal val="1"/>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7797-4E1E-B3DA-0B3255E1C2F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Summary!$E$2:$E$7</c:f>
              <c:strCache>
                <c:ptCount val="6"/>
                <c:pt idx="0">
                  <c:v>Individual Secured on dwellings</c:v>
                </c:pt>
                <c:pt idx="1">
                  <c:v>Consumer Credit (all financial institutions)</c:v>
                </c:pt>
                <c:pt idx="2">
                  <c:v>Student  Loans</c:v>
                </c:pt>
                <c:pt idx="3">
                  <c:v>Lending to other financial institutions</c:v>
                </c:pt>
                <c:pt idx="4">
                  <c:v>Lending to private non-financial corporations</c:v>
                </c:pt>
                <c:pt idx="5">
                  <c:v>Unincorporated businesses and non-profit institutions</c:v>
                </c:pt>
              </c:strCache>
            </c:strRef>
          </c:cat>
          <c:val>
            <c:numRef>
              <c:f>Summary!$F$2:$F$7</c:f>
              <c:numCache>
                <c:formatCode>0.0%</c:formatCode>
                <c:ptCount val="6"/>
                <c:pt idx="0">
                  <c:v>0.49540341495500412</c:v>
                </c:pt>
                <c:pt idx="1">
                  <c:v>7.6603883253098304E-2</c:v>
                </c:pt>
                <c:pt idx="2">
                  <c:v>4.2605211702279377E-2</c:v>
                </c:pt>
                <c:pt idx="3">
                  <c:v>0.22978111482679325</c:v>
                </c:pt>
                <c:pt idx="4">
                  <c:v>0.14541453326277967</c:v>
                </c:pt>
                <c:pt idx="5">
                  <c:v>1.0191842000045262E-2</c:v>
                </c:pt>
              </c:numCache>
            </c:numRef>
          </c:val>
          <c:extLst>
            <c:ext xmlns:c16="http://schemas.microsoft.com/office/drawing/2014/chart" uri="{C3380CC4-5D6E-409C-BE32-E72D297353CC}">
              <c16:uniqueId val="{0000000C-7797-4E1E-B3DA-0B3255E1C2FF}"/>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areaChart>
        <c:grouping val="stacked"/>
        <c:varyColors val="0"/>
        <c:ser>
          <c:idx val="0"/>
          <c:order val="0"/>
          <c:tx>
            <c:strRef>
              <c:f>'All Fin Inst'!$B$5</c:f>
              <c:strCache>
                <c:ptCount val="1"/>
                <c:pt idx="0">
                  <c:v>Individual Secured on dwellings</c:v>
                </c:pt>
              </c:strCache>
            </c:strRef>
          </c:tx>
          <c:spPr>
            <a:solidFill>
              <a:srgbClr val="FF0000"/>
            </a:solidFill>
          </c:spPr>
          <c:cat>
            <c:numRef>
              <c:f>'All Fin Inst'!$A$11:$A$31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Inst'!$B$11:$B$31</c:f>
              <c:numCache>
                <c:formatCode>"£"#,##0.0;[Red]"£"#,##0.0</c:formatCode>
                <c:ptCount val="21"/>
                <c:pt idx="0">
                  <c:v>434.654</c:v>
                </c:pt>
                <c:pt idx="1">
                  <c:v>465.00099999999998</c:v>
                </c:pt>
                <c:pt idx="2">
                  <c:v>505.41199999999998</c:v>
                </c:pt>
                <c:pt idx="3">
                  <c:v>548.72400000000005</c:v>
                </c:pt>
                <c:pt idx="4">
                  <c:v>611.76900000000001</c:v>
                </c:pt>
                <c:pt idx="5">
                  <c:v>702.26599999999996</c:v>
                </c:pt>
                <c:pt idx="6">
                  <c:v>808.84799999999996</c:v>
                </c:pt>
                <c:pt idx="7">
                  <c:v>897.34799999999996</c:v>
                </c:pt>
                <c:pt idx="8">
                  <c:v>990.63400000000001</c:v>
                </c:pt>
                <c:pt idx="9">
                  <c:v>1102.6320000000001</c:v>
                </c:pt>
                <c:pt idx="10">
                  <c:v>1175.47</c:v>
                </c:pt>
                <c:pt idx="11">
                  <c:v>1186.242</c:v>
                </c:pt>
                <c:pt idx="12">
                  <c:v>1195.1130000000001</c:v>
                </c:pt>
                <c:pt idx="13">
                  <c:v>1198.701</c:v>
                </c:pt>
                <c:pt idx="14">
                  <c:v>1220.413</c:v>
                </c:pt>
                <c:pt idx="15">
                  <c:v>1227.6489999999999</c:v>
                </c:pt>
                <c:pt idx="16">
                  <c:v>1248.115</c:v>
                </c:pt>
                <c:pt idx="17">
                  <c:v>1268.7639999999999</c:v>
                </c:pt>
                <c:pt idx="18">
                  <c:v>1306.4929999999999</c:v>
                </c:pt>
                <c:pt idx="19">
                  <c:v>1344.7349999999999</c:v>
                </c:pt>
                <c:pt idx="20">
                  <c:v>1379.0530000000001</c:v>
                </c:pt>
              </c:numCache>
            </c:numRef>
          </c:val>
          <c:extLst>
            <c:ext xmlns:c16="http://schemas.microsoft.com/office/drawing/2014/chart" uri="{C3380CC4-5D6E-409C-BE32-E72D297353CC}">
              <c16:uniqueId val="{00000000-1A3A-4450-9F62-0F630AA42D46}"/>
            </c:ext>
          </c:extLst>
        </c:ser>
        <c:ser>
          <c:idx val="1"/>
          <c:order val="1"/>
          <c:tx>
            <c:strRef>
              <c:f>'All Fin Inst'!$C$5</c:f>
              <c:strCache>
                <c:ptCount val="1"/>
                <c:pt idx="0">
                  <c:v>Consumer Credit (all financial institutions)</c:v>
                </c:pt>
              </c:strCache>
            </c:strRef>
          </c:tx>
          <c:spPr>
            <a:solidFill>
              <a:srgbClr val="FF66FF"/>
            </a:solidFill>
          </c:spPr>
          <c:cat>
            <c:numRef>
              <c:f>'All Fin Inst'!$A$11:$A$31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Inst'!$C$11:$C$31</c:f>
              <c:numCache>
                <c:formatCode>"£"#,##0.0;[Red]"£"#,##0.0</c:formatCode>
                <c:ptCount val="21"/>
                <c:pt idx="0">
                  <c:v>95.102999999999994</c:v>
                </c:pt>
                <c:pt idx="1">
                  <c:v>108.616</c:v>
                </c:pt>
                <c:pt idx="2">
                  <c:v>121.851</c:v>
                </c:pt>
                <c:pt idx="3">
                  <c:v>132.93100000000001</c:v>
                </c:pt>
                <c:pt idx="4">
                  <c:v>147.34100000000001</c:v>
                </c:pt>
                <c:pt idx="5">
                  <c:v>160.636</c:v>
                </c:pt>
                <c:pt idx="6">
                  <c:v>174.21700000000001</c:v>
                </c:pt>
                <c:pt idx="7">
                  <c:v>189.06700000000001</c:v>
                </c:pt>
                <c:pt idx="8">
                  <c:v>191.39699999999999</c:v>
                </c:pt>
                <c:pt idx="9">
                  <c:v>190.952</c:v>
                </c:pt>
                <c:pt idx="10">
                  <c:v>203.072</c:v>
                </c:pt>
                <c:pt idx="11">
                  <c:v>185.845</c:v>
                </c:pt>
                <c:pt idx="12">
                  <c:v>178.833</c:v>
                </c:pt>
                <c:pt idx="13">
                  <c:v>166.18299999999999</c:v>
                </c:pt>
                <c:pt idx="14">
                  <c:v>158.203</c:v>
                </c:pt>
                <c:pt idx="15">
                  <c:v>156.54300000000001</c:v>
                </c:pt>
                <c:pt idx="16">
                  <c:v>161.15700000000001</c:v>
                </c:pt>
                <c:pt idx="17">
                  <c:v>174.6</c:v>
                </c:pt>
                <c:pt idx="18">
                  <c:v>186.505</c:v>
                </c:pt>
                <c:pt idx="19">
                  <c:v>200.77699999999999</c:v>
                </c:pt>
                <c:pt idx="20">
                  <c:v>213.24199999999999</c:v>
                </c:pt>
              </c:numCache>
            </c:numRef>
          </c:val>
          <c:extLst>
            <c:ext xmlns:c16="http://schemas.microsoft.com/office/drawing/2014/chart" uri="{C3380CC4-5D6E-409C-BE32-E72D297353CC}">
              <c16:uniqueId val="{00000001-1A3A-4450-9F62-0F630AA42D46}"/>
            </c:ext>
          </c:extLst>
        </c:ser>
        <c:ser>
          <c:idx val="2"/>
          <c:order val="2"/>
          <c:tx>
            <c:strRef>
              <c:f>'All Fin Inst'!$D$5</c:f>
              <c:strCache>
                <c:ptCount val="1"/>
                <c:pt idx="0">
                  <c:v>Student  Loans</c:v>
                </c:pt>
              </c:strCache>
            </c:strRef>
          </c:tx>
          <c:cat>
            <c:numRef>
              <c:f>'All Fin Inst'!$A$11:$A$31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Inst'!$D$11:$D$31</c:f>
              <c:numCache>
                <c:formatCode>"£"#,##0.0;[Red]"£"#,##0.0</c:formatCode>
                <c:ptCount val="21"/>
                <c:pt idx="0">
                  <c:v>3.871</c:v>
                </c:pt>
                <c:pt idx="1">
                  <c:v>4.9969999999999999</c:v>
                </c:pt>
                <c:pt idx="2">
                  <c:v>6.4980000000000002</c:v>
                </c:pt>
                <c:pt idx="3">
                  <c:v>8.51</c:v>
                </c:pt>
                <c:pt idx="4">
                  <c:v>10.653</c:v>
                </c:pt>
                <c:pt idx="5">
                  <c:v>12.961</c:v>
                </c:pt>
                <c:pt idx="6">
                  <c:v>15.332000000000001</c:v>
                </c:pt>
                <c:pt idx="7">
                  <c:v>17.774999999999999</c:v>
                </c:pt>
                <c:pt idx="8">
                  <c:v>20.547999999999998</c:v>
                </c:pt>
                <c:pt idx="9">
                  <c:v>24.08</c:v>
                </c:pt>
                <c:pt idx="10">
                  <c:v>28.26</c:v>
                </c:pt>
                <c:pt idx="11">
                  <c:v>32.976999999999997</c:v>
                </c:pt>
                <c:pt idx="12">
                  <c:v>37.975000000000001</c:v>
                </c:pt>
                <c:pt idx="13">
                  <c:v>43.110999999999997</c:v>
                </c:pt>
                <c:pt idx="14">
                  <c:v>48.914000000000001</c:v>
                </c:pt>
                <c:pt idx="15">
                  <c:v>56.448</c:v>
                </c:pt>
                <c:pt idx="16">
                  <c:v>66.102999999999994</c:v>
                </c:pt>
                <c:pt idx="17">
                  <c:v>77.831000000000003</c:v>
                </c:pt>
                <c:pt idx="18">
                  <c:v>90.965000000000003</c:v>
                </c:pt>
                <c:pt idx="19">
                  <c:v>101.7</c:v>
                </c:pt>
                <c:pt idx="20">
                  <c:v>118.6</c:v>
                </c:pt>
              </c:numCache>
            </c:numRef>
          </c:val>
          <c:extLst>
            <c:ext xmlns:c16="http://schemas.microsoft.com/office/drawing/2014/chart" uri="{C3380CC4-5D6E-409C-BE32-E72D297353CC}">
              <c16:uniqueId val="{00000002-1A3A-4450-9F62-0F630AA42D46}"/>
            </c:ext>
          </c:extLst>
        </c:ser>
        <c:ser>
          <c:idx val="3"/>
          <c:order val="3"/>
          <c:tx>
            <c:strRef>
              <c:f>'All Fin Inst'!$E$5</c:f>
              <c:strCache>
                <c:ptCount val="1"/>
                <c:pt idx="0">
                  <c:v>Unincorporated businesses and non-profit institutions</c:v>
                </c:pt>
              </c:strCache>
            </c:strRef>
          </c:tx>
          <c:spPr>
            <a:solidFill>
              <a:srgbClr val="D5F1FF"/>
            </a:solidFill>
          </c:spPr>
          <c:cat>
            <c:numRef>
              <c:f>'All Fin Inst'!$A$11:$A$31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Inst'!$E$11:$E$31</c:f>
              <c:numCache>
                <c:formatCode>"£"#,##0.0;[Red]"£"#,##0.0</c:formatCode>
                <c:ptCount val="21"/>
                <c:pt idx="0">
                  <c:v>26.684000000000001</c:v>
                </c:pt>
                <c:pt idx="1">
                  <c:v>28.114999999999998</c:v>
                </c:pt>
                <c:pt idx="2">
                  <c:v>31.72</c:v>
                </c:pt>
                <c:pt idx="3">
                  <c:v>35.935000000000002</c:v>
                </c:pt>
                <c:pt idx="4">
                  <c:v>39.692999999999998</c:v>
                </c:pt>
                <c:pt idx="5">
                  <c:v>44.338999999999999</c:v>
                </c:pt>
                <c:pt idx="6">
                  <c:v>49.052</c:v>
                </c:pt>
                <c:pt idx="7">
                  <c:v>56.56</c:v>
                </c:pt>
                <c:pt idx="8">
                  <c:v>37.898000000000003</c:v>
                </c:pt>
                <c:pt idx="9">
                  <c:v>44.011000000000003</c:v>
                </c:pt>
                <c:pt idx="10">
                  <c:v>47.834000000000003</c:v>
                </c:pt>
                <c:pt idx="11">
                  <c:v>49.107999999999997</c:v>
                </c:pt>
                <c:pt idx="12">
                  <c:v>46.704000000000001</c:v>
                </c:pt>
                <c:pt idx="13">
                  <c:v>43.807000000000002</c:v>
                </c:pt>
                <c:pt idx="14">
                  <c:v>37.773000000000003</c:v>
                </c:pt>
                <c:pt idx="15">
                  <c:v>35.25</c:v>
                </c:pt>
                <c:pt idx="16">
                  <c:v>32.715000000000003</c:v>
                </c:pt>
                <c:pt idx="17">
                  <c:v>31.314</c:v>
                </c:pt>
                <c:pt idx="18">
                  <c:v>30.652999999999999</c:v>
                </c:pt>
                <c:pt idx="19">
                  <c:v>29.361000000000001</c:v>
                </c:pt>
                <c:pt idx="20">
                  <c:v>28.370999999999999</c:v>
                </c:pt>
              </c:numCache>
            </c:numRef>
          </c:val>
          <c:extLst>
            <c:ext xmlns:c16="http://schemas.microsoft.com/office/drawing/2014/chart" uri="{C3380CC4-5D6E-409C-BE32-E72D297353CC}">
              <c16:uniqueId val="{00000003-1A3A-4450-9F62-0F630AA42D46}"/>
            </c:ext>
          </c:extLst>
        </c:ser>
        <c:ser>
          <c:idx val="4"/>
          <c:order val="4"/>
          <c:tx>
            <c:strRef>
              <c:f>'All Fin Inst'!$F$5</c:f>
              <c:strCache>
                <c:ptCount val="1"/>
                <c:pt idx="0">
                  <c:v>Lending to private non-financial corporations</c:v>
                </c:pt>
              </c:strCache>
            </c:strRef>
          </c:tx>
          <c:spPr>
            <a:solidFill>
              <a:srgbClr val="00FF00"/>
            </a:solidFill>
          </c:spPr>
          <c:cat>
            <c:numRef>
              <c:f>'All Fin Inst'!$A$11:$A$31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Inst'!$F$11:$F$31</c:f>
              <c:numCache>
                <c:formatCode>"£"#,##0.0;[Red]"£"#,##0.0</c:formatCode>
                <c:ptCount val="21"/>
                <c:pt idx="0">
                  <c:v>188.958</c:v>
                </c:pt>
                <c:pt idx="1">
                  <c:v>195.357</c:v>
                </c:pt>
                <c:pt idx="2">
                  <c:v>218.904</c:v>
                </c:pt>
                <c:pt idx="3">
                  <c:v>240.928</c:v>
                </c:pt>
                <c:pt idx="4">
                  <c:v>246.249</c:v>
                </c:pt>
                <c:pt idx="5">
                  <c:v>271.25099999999998</c:v>
                </c:pt>
                <c:pt idx="6">
                  <c:v>282.31099999999998</c:v>
                </c:pt>
                <c:pt idx="7">
                  <c:v>320.13200000000001</c:v>
                </c:pt>
                <c:pt idx="8">
                  <c:v>393.43799999999999</c:v>
                </c:pt>
                <c:pt idx="9">
                  <c:v>459.67</c:v>
                </c:pt>
                <c:pt idx="10">
                  <c:v>514.827</c:v>
                </c:pt>
                <c:pt idx="11">
                  <c:v>503.93099999999998</c:v>
                </c:pt>
                <c:pt idx="12">
                  <c:v>475.54199999999997</c:v>
                </c:pt>
                <c:pt idx="13">
                  <c:v>440.38200000000001</c:v>
                </c:pt>
                <c:pt idx="14">
                  <c:v>422.01799999999997</c:v>
                </c:pt>
                <c:pt idx="15">
                  <c:v>393.91699999999997</c:v>
                </c:pt>
                <c:pt idx="16">
                  <c:v>384.76600000000002</c:v>
                </c:pt>
                <c:pt idx="17">
                  <c:v>369.39400000000001</c:v>
                </c:pt>
                <c:pt idx="18">
                  <c:v>371.58199999999999</c:v>
                </c:pt>
                <c:pt idx="19">
                  <c:v>396.26</c:v>
                </c:pt>
                <c:pt idx="20">
                  <c:v>404.79</c:v>
                </c:pt>
              </c:numCache>
            </c:numRef>
          </c:val>
          <c:extLst>
            <c:ext xmlns:c16="http://schemas.microsoft.com/office/drawing/2014/chart" uri="{C3380CC4-5D6E-409C-BE32-E72D297353CC}">
              <c16:uniqueId val="{00000004-1A3A-4450-9F62-0F630AA42D46}"/>
            </c:ext>
          </c:extLst>
        </c:ser>
        <c:ser>
          <c:idx val="5"/>
          <c:order val="5"/>
          <c:tx>
            <c:strRef>
              <c:f>'All Fin Inst'!$G$5</c:f>
              <c:strCache>
                <c:ptCount val="1"/>
                <c:pt idx="0">
                  <c:v>Lending to other financial institutions</c:v>
                </c:pt>
              </c:strCache>
            </c:strRef>
          </c:tx>
          <c:spPr>
            <a:solidFill>
              <a:srgbClr val="FFFF00"/>
            </a:solidFill>
            <a:ln>
              <a:solidFill>
                <a:srgbClr val="FFC000"/>
              </a:solidFill>
            </a:ln>
          </c:spPr>
          <c:cat>
            <c:numRef>
              <c:f>'All Fin Inst'!$A$11:$A$31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Inst'!$G$11:$G$31</c:f>
              <c:numCache>
                <c:formatCode>"£"#,##0.0;[Red]"£"#,##0.0</c:formatCode>
                <c:ptCount val="21"/>
                <c:pt idx="0">
                  <c:v>179.14099999999999</c:v>
                </c:pt>
                <c:pt idx="1">
                  <c:v>200.87700000000001</c:v>
                </c:pt>
                <c:pt idx="2">
                  <c:v>229.898</c:v>
                </c:pt>
                <c:pt idx="3">
                  <c:v>259.79599999999999</c:v>
                </c:pt>
                <c:pt idx="4">
                  <c:v>265.09100000000001</c:v>
                </c:pt>
                <c:pt idx="5">
                  <c:v>278.834</c:v>
                </c:pt>
                <c:pt idx="6">
                  <c:v>317.82</c:v>
                </c:pt>
                <c:pt idx="7">
                  <c:v>373.34199999999998</c:v>
                </c:pt>
                <c:pt idx="8">
                  <c:v>485.63900000000001</c:v>
                </c:pt>
                <c:pt idx="9">
                  <c:v>571.50300000000004</c:v>
                </c:pt>
                <c:pt idx="10">
                  <c:v>730.36500000000001</c:v>
                </c:pt>
                <c:pt idx="11">
                  <c:v>885.851</c:v>
                </c:pt>
                <c:pt idx="12">
                  <c:v>888.03899999999999</c:v>
                </c:pt>
                <c:pt idx="13">
                  <c:v>820.38199999999995</c:v>
                </c:pt>
                <c:pt idx="14">
                  <c:v>690.33</c:v>
                </c:pt>
                <c:pt idx="15">
                  <c:v>678.45699999999999</c:v>
                </c:pt>
                <c:pt idx="16">
                  <c:v>588.29999999999995</c:v>
                </c:pt>
                <c:pt idx="17">
                  <c:v>543.87599999999998</c:v>
                </c:pt>
                <c:pt idx="18">
                  <c:v>562.48500000000001</c:v>
                </c:pt>
                <c:pt idx="19">
                  <c:v>635.07399999999996</c:v>
                </c:pt>
                <c:pt idx="20">
                  <c:v>639.64099999999996</c:v>
                </c:pt>
              </c:numCache>
            </c:numRef>
          </c:val>
          <c:extLst>
            <c:ext xmlns:c16="http://schemas.microsoft.com/office/drawing/2014/chart" uri="{C3380CC4-5D6E-409C-BE32-E72D297353CC}">
              <c16:uniqueId val="{00000005-1A3A-4450-9F62-0F630AA42D46}"/>
            </c:ext>
          </c:extLst>
        </c:ser>
        <c:dLbls>
          <c:showLegendKey val="0"/>
          <c:showVal val="0"/>
          <c:showCatName val="0"/>
          <c:showSerName val="0"/>
          <c:showPercent val="0"/>
          <c:showBubbleSize val="0"/>
        </c:dLbls>
        <c:axId val="630806784"/>
        <c:axId val="630824960"/>
      </c:areaChart>
      <c:lineChart>
        <c:grouping val="standard"/>
        <c:varyColors val="0"/>
        <c:ser>
          <c:idx val="6"/>
          <c:order val="6"/>
          <c:tx>
            <c:strRef>
              <c:f>'All Fin Inst'!$H$5</c:f>
              <c:strCache>
                <c:ptCount val="1"/>
                <c:pt idx="0">
                  <c:v>GDP at market prices (current prices)</c:v>
                </c:pt>
              </c:strCache>
            </c:strRef>
          </c:tx>
          <c:spPr>
            <a:ln>
              <a:solidFill>
                <a:srgbClr val="0000FF"/>
              </a:solidFill>
            </a:ln>
          </c:spPr>
          <c:marker>
            <c:symbol val="none"/>
          </c:marker>
          <c:cat>
            <c:numRef>
              <c:f>'All Fin Inst'!$A$11:$A$31</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Inst'!$H$11:$H$31</c:f>
              <c:numCache>
                <c:formatCode>"£"#,##0_);[Red]\("£"#,##0\)</c:formatCode>
                <c:ptCount val="21"/>
                <c:pt idx="0">
                  <c:v>980.30799999999999</c:v>
                </c:pt>
                <c:pt idx="1">
                  <c:v>1021.205</c:v>
                </c:pt>
                <c:pt idx="2">
                  <c:v>1080.8630000000001</c:v>
                </c:pt>
                <c:pt idx="3">
                  <c:v>1120.575</c:v>
                </c:pt>
                <c:pt idx="4">
                  <c:v>1172.652</c:v>
                </c:pt>
                <c:pt idx="5">
                  <c:v>1242.4490000000001</c:v>
                </c:pt>
                <c:pt idx="6">
                  <c:v>1304.874</c:v>
                </c:pt>
                <c:pt idx="7">
                  <c:v>1379.4570000000001</c:v>
                </c:pt>
                <c:pt idx="8">
                  <c:v>1455.644</c:v>
                </c:pt>
                <c:pt idx="9">
                  <c:v>1530.89</c:v>
                </c:pt>
                <c:pt idx="10">
                  <c:v>1564.252</c:v>
                </c:pt>
                <c:pt idx="11">
                  <c:v>1519.4590000000001</c:v>
                </c:pt>
                <c:pt idx="12">
                  <c:v>1572.4390000000001</c:v>
                </c:pt>
                <c:pt idx="13">
                  <c:v>1628.2739999999999</c:v>
                </c:pt>
                <c:pt idx="14">
                  <c:v>1675.0440000000001</c:v>
                </c:pt>
                <c:pt idx="15">
                  <c:v>1739.5630000000001</c:v>
                </c:pt>
                <c:pt idx="16">
                  <c:v>1844.2950000000001</c:v>
                </c:pt>
                <c:pt idx="17">
                  <c:v>1895.8389999999999</c:v>
                </c:pt>
                <c:pt idx="18">
                  <c:v>1969.5239999999999</c:v>
                </c:pt>
                <c:pt idx="19">
                  <c:v>2040.6510000000001</c:v>
                </c:pt>
                <c:pt idx="20">
                  <c:v>2061.0575100000001</c:v>
                </c:pt>
              </c:numCache>
            </c:numRef>
          </c:val>
          <c:smooth val="0"/>
          <c:extLst>
            <c:ext xmlns:c16="http://schemas.microsoft.com/office/drawing/2014/chart" uri="{C3380CC4-5D6E-409C-BE32-E72D297353CC}">
              <c16:uniqueId val="{00000006-1A3A-4450-9F62-0F630AA42D46}"/>
            </c:ext>
          </c:extLst>
        </c:ser>
        <c:dLbls>
          <c:showLegendKey val="0"/>
          <c:showVal val="0"/>
          <c:showCatName val="0"/>
          <c:showSerName val="0"/>
          <c:showPercent val="0"/>
          <c:showBubbleSize val="0"/>
        </c:dLbls>
        <c:marker val="1"/>
        <c:smooth val="0"/>
        <c:axId val="630806784"/>
        <c:axId val="630824960"/>
      </c:lineChart>
      <c:catAx>
        <c:axId val="630806784"/>
        <c:scaling>
          <c:orientation val="minMax"/>
        </c:scaling>
        <c:delete val="0"/>
        <c:axPos val="b"/>
        <c:numFmt formatCode="General" sourceLinked="1"/>
        <c:majorTickMark val="out"/>
        <c:minorTickMark val="none"/>
        <c:tickLblPos val="nextTo"/>
        <c:crossAx val="630824960"/>
        <c:crosses val="autoZero"/>
        <c:auto val="1"/>
        <c:lblAlgn val="ctr"/>
        <c:lblOffset val="100"/>
        <c:noMultiLvlLbl val="0"/>
      </c:catAx>
      <c:valAx>
        <c:axId val="630824960"/>
        <c:scaling>
          <c:orientation val="minMax"/>
        </c:scaling>
        <c:delete val="0"/>
        <c:axPos val="l"/>
        <c:majorGridlines/>
        <c:title>
          <c:tx>
            <c:rich>
              <a:bodyPr rot="-5400000" vert="horz"/>
              <a:lstStyle/>
              <a:p>
                <a:pPr>
                  <a:defRPr sz="1100" b="1">
                    <a:solidFill>
                      <a:srgbClr val="FF0000"/>
                    </a:solidFill>
                  </a:defRPr>
                </a:pPr>
                <a:r>
                  <a:rPr lang="en-US" sz="1400" b="1" baseline="0">
                    <a:solidFill>
                      <a:srgbClr val="FF0000"/>
                    </a:solidFill>
                  </a:rPr>
                  <a:t>£ billions</a:t>
                </a:r>
                <a:endParaRPr lang="en-US" sz="1400" b="1">
                  <a:solidFill>
                    <a:srgbClr val="FF0000"/>
                  </a:solidFill>
                </a:endParaRPr>
              </a:p>
            </c:rich>
          </c:tx>
          <c:overlay val="0"/>
        </c:title>
        <c:numFmt formatCode="&quot;£&quot;#,##0;[Red]&quot;£&quot;#,##0" sourceLinked="0"/>
        <c:majorTickMark val="out"/>
        <c:minorTickMark val="none"/>
        <c:tickLblPos val="nextTo"/>
        <c:txPr>
          <a:bodyPr/>
          <a:lstStyle/>
          <a:p>
            <a:pPr>
              <a:defRPr sz="1200" baseline="0">
                <a:solidFill>
                  <a:srgbClr val="FF0000"/>
                </a:solidFill>
              </a:defRPr>
            </a:pPr>
            <a:endParaRPr lang="en-US"/>
          </a:p>
        </c:txPr>
        <c:crossAx val="630806784"/>
        <c:crosses val="autoZero"/>
        <c:crossBetween val="between"/>
      </c:valAx>
    </c:plotArea>
    <c:legend>
      <c:legendPos val="r"/>
      <c:overlay val="0"/>
    </c:legend>
    <c:plotVisOnly val="1"/>
    <c:dispBlanksAs val="zero"/>
    <c:showDLblsOverMax val="0"/>
  </c:chart>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'All Fin Inst'!$B$36</c:f>
              <c:strCache>
                <c:ptCount val="1"/>
                <c:pt idx="0">
                  <c:v>Lending to private non-financial corporations (£ billion)</c:v>
                </c:pt>
              </c:strCache>
            </c:strRef>
          </c:tx>
          <c:spPr>
            <a:ln w="28575" cap="rnd">
              <a:solidFill>
                <a:schemeClr val="accent1"/>
              </a:solidFill>
              <a:round/>
            </a:ln>
            <a:effectLst/>
          </c:spPr>
          <c:marker>
            <c:symbol val="none"/>
          </c:marker>
          <c:cat>
            <c:numRef>
              <c:f>'All Fin Inst'!$A$37:$A$57</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Inst'!$B$37:$B$57</c:f>
              <c:numCache>
                <c:formatCode>"£"#,##0.0;[Red]"£"#,##0.0</c:formatCode>
                <c:ptCount val="21"/>
                <c:pt idx="0">
                  <c:v>188.958</c:v>
                </c:pt>
                <c:pt idx="1">
                  <c:v>195.357</c:v>
                </c:pt>
                <c:pt idx="2">
                  <c:v>218.904</c:v>
                </c:pt>
                <c:pt idx="3">
                  <c:v>240.928</c:v>
                </c:pt>
                <c:pt idx="4">
                  <c:v>246.249</c:v>
                </c:pt>
                <c:pt idx="5">
                  <c:v>271.25099999999998</c:v>
                </c:pt>
                <c:pt idx="6">
                  <c:v>282.31099999999998</c:v>
                </c:pt>
                <c:pt idx="7">
                  <c:v>320.13200000000001</c:v>
                </c:pt>
                <c:pt idx="8">
                  <c:v>393.43799999999999</c:v>
                </c:pt>
                <c:pt idx="9">
                  <c:v>459.67</c:v>
                </c:pt>
                <c:pt idx="10">
                  <c:v>514.827</c:v>
                </c:pt>
                <c:pt idx="11">
                  <c:v>503.93099999999998</c:v>
                </c:pt>
                <c:pt idx="12">
                  <c:v>475.54199999999997</c:v>
                </c:pt>
                <c:pt idx="13">
                  <c:v>440.38200000000001</c:v>
                </c:pt>
                <c:pt idx="14">
                  <c:v>422.01799999999997</c:v>
                </c:pt>
                <c:pt idx="15">
                  <c:v>393.91699999999997</c:v>
                </c:pt>
                <c:pt idx="16">
                  <c:v>384.76600000000002</c:v>
                </c:pt>
                <c:pt idx="17">
                  <c:v>369.39400000000001</c:v>
                </c:pt>
                <c:pt idx="18">
                  <c:v>371.58199999999999</c:v>
                </c:pt>
                <c:pt idx="19">
                  <c:v>396.26</c:v>
                </c:pt>
                <c:pt idx="20">
                  <c:v>404.79</c:v>
                </c:pt>
              </c:numCache>
            </c:numRef>
          </c:val>
          <c:smooth val="0"/>
          <c:extLst>
            <c:ext xmlns:c16="http://schemas.microsoft.com/office/drawing/2014/chart" uri="{C3380CC4-5D6E-409C-BE32-E72D297353CC}">
              <c16:uniqueId val="{00000000-E538-404D-8A49-166277795A5F}"/>
            </c:ext>
          </c:extLst>
        </c:ser>
        <c:dLbls>
          <c:showLegendKey val="0"/>
          <c:showVal val="0"/>
          <c:showCatName val="0"/>
          <c:showSerName val="0"/>
          <c:showPercent val="0"/>
          <c:showBubbleSize val="0"/>
        </c:dLbls>
        <c:marker val="1"/>
        <c:smooth val="0"/>
        <c:axId val="630420608"/>
        <c:axId val="630422144"/>
      </c:lineChart>
      <c:lineChart>
        <c:grouping val="standard"/>
        <c:varyColors val="0"/>
        <c:ser>
          <c:idx val="1"/>
          <c:order val="1"/>
          <c:tx>
            <c:strRef>
              <c:f>'All Fin Inst'!$C$36</c:f>
              <c:strCache>
                <c:ptCount val="1"/>
                <c:pt idx="0">
                  <c:v>Unincorporated businesses and non-profit institutions (£ billion)</c:v>
                </c:pt>
              </c:strCache>
            </c:strRef>
          </c:tx>
          <c:spPr>
            <a:ln w="28575" cap="rnd">
              <a:solidFill>
                <a:schemeClr val="accent2"/>
              </a:solidFill>
              <a:round/>
            </a:ln>
            <a:effectLst/>
          </c:spPr>
          <c:marker>
            <c:symbol val="none"/>
          </c:marker>
          <c:cat>
            <c:numRef>
              <c:f>'All Fin Inst'!$A$37:$A$57</c:f>
              <c:numCache>
                <c:formatCode>General</c:formatCode>
                <c:ptCount val="21"/>
                <c:pt idx="0">
                  <c:v>1998</c:v>
                </c:pt>
                <c:pt idx="1">
                  <c:v>1999</c:v>
                </c:pt>
                <c:pt idx="2">
                  <c:v>2000</c:v>
                </c:pt>
                <c:pt idx="3">
                  <c:v>2001</c:v>
                </c:pt>
                <c:pt idx="4">
                  <c:v>2002</c:v>
                </c:pt>
                <c:pt idx="5">
                  <c:v>2003</c:v>
                </c:pt>
                <c:pt idx="6">
                  <c:v>2004</c:v>
                </c:pt>
                <c:pt idx="7">
                  <c:v>2005</c:v>
                </c:pt>
                <c:pt idx="8">
                  <c:v>2006</c:v>
                </c:pt>
                <c:pt idx="9">
                  <c:v>2007</c:v>
                </c:pt>
                <c:pt idx="10">
                  <c:v>2008</c:v>
                </c:pt>
                <c:pt idx="11">
                  <c:v>2009</c:v>
                </c:pt>
                <c:pt idx="12">
                  <c:v>2010</c:v>
                </c:pt>
                <c:pt idx="13">
                  <c:v>2011</c:v>
                </c:pt>
                <c:pt idx="14">
                  <c:v>2012</c:v>
                </c:pt>
                <c:pt idx="15">
                  <c:v>2013</c:v>
                </c:pt>
                <c:pt idx="16">
                  <c:v>2014</c:v>
                </c:pt>
                <c:pt idx="17">
                  <c:v>2015</c:v>
                </c:pt>
                <c:pt idx="18">
                  <c:v>2016</c:v>
                </c:pt>
                <c:pt idx="19">
                  <c:v>2017</c:v>
                </c:pt>
                <c:pt idx="20">
                  <c:v>2018</c:v>
                </c:pt>
              </c:numCache>
            </c:numRef>
          </c:cat>
          <c:val>
            <c:numRef>
              <c:f>'All Fin Inst'!$C$37:$C$57</c:f>
              <c:numCache>
                <c:formatCode>"£"#,##0.0;[Red]"£"#,##0.0</c:formatCode>
                <c:ptCount val="21"/>
                <c:pt idx="0">
                  <c:v>26.684000000000001</c:v>
                </c:pt>
                <c:pt idx="1">
                  <c:v>28.114999999999998</c:v>
                </c:pt>
                <c:pt idx="2">
                  <c:v>31.72</c:v>
                </c:pt>
                <c:pt idx="3">
                  <c:v>35.935000000000002</c:v>
                </c:pt>
                <c:pt idx="4">
                  <c:v>39.692999999999998</c:v>
                </c:pt>
                <c:pt idx="5">
                  <c:v>44.338999999999999</c:v>
                </c:pt>
                <c:pt idx="6">
                  <c:v>49.052</c:v>
                </c:pt>
                <c:pt idx="7">
                  <c:v>56.56</c:v>
                </c:pt>
                <c:pt idx="8">
                  <c:v>37.898000000000003</c:v>
                </c:pt>
                <c:pt idx="9">
                  <c:v>44.011000000000003</c:v>
                </c:pt>
                <c:pt idx="10">
                  <c:v>47.834000000000003</c:v>
                </c:pt>
                <c:pt idx="11">
                  <c:v>49.107999999999997</c:v>
                </c:pt>
                <c:pt idx="12">
                  <c:v>46.704000000000001</c:v>
                </c:pt>
                <c:pt idx="13">
                  <c:v>43.807000000000002</c:v>
                </c:pt>
                <c:pt idx="14">
                  <c:v>37.773000000000003</c:v>
                </c:pt>
                <c:pt idx="15">
                  <c:v>35.25</c:v>
                </c:pt>
                <c:pt idx="16">
                  <c:v>32.715000000000003</c:v>
                </c:pt>
                <c:pt idx="17">
                  <c:v>31.314</c:v>
                </c:pt>
                <c:pt idx="18">
                  <c:v>30.652999999999999</c:v>
                </c:pt>
                <c:pt idx="19">
                  <c:v>29.361000000000001</c:v>
                </c:pt>
                <c:pt idx="20">
                  <c:v>28.370999999999999</c:v>
                </c:pt>
              </c:numCache>
            </c:numRef>
          </c:val>
          <c:smooth val="0"/>
          <c:extLst>
            <c:ext xmlns:c16="http://schemas.microsoft.com/office/drawing/2014/chart" uri="{C3380CC4-5D6E-409C-BE32-E72D297353CC}">
              <c16:uniqueId val="{00000001-E538-404D-8A49-166277795A5F}"/>
            </c:ext>
          </c:extLst>
        </c:ser>
        <c:dLbls>
          <c:showLegendKey val="0"/>
          <c:showVal val="0"/>
          <c:showCatName val="0"/>
          <c:showSerName val="0"/>
          <c:showPercent val="0"/>
          <c:showBubbleSize val="0"/>
        </c:dLbls>
        <c:marker val="1"/>
        <c:smooth val="0"/>
        <c:axId val="630430336"/>
        <c:axId val="630428416"/>
      </c:lineChart>
      <c:catAx>
        <c:axId val="6304206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422144"/>
        <c:crosses val="autoZero"/>
        <c:auto val="1"/>
        <c:lblAlgn val="ctr"/>
        <c:lblOffset val="100"/>
        <c:noMultiLvlLbl val="0"/>
      </c:catAx>
      <c:valAx>
        <c:axId val="630422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sz="1000" b="0" i="0" u="none" strike="noStrike" baseline="0">
                    <a:effectLst/>
                  </a:rPr>
                  <a:t>Lending to private non-financial corporations  (£billion)</a:t>
                </a:r>
                <a:endParaRPr lang="en-GB"/>
              </a:p>
            </c:rich>
          </c:tx>
          <c:overlay val="0"/>
          <c:spPr>
            <a:noFill/>
            <a:ln>
              <a:noFill/>
            </a:ln>
            <a:effectLst/>
          </c:spPr>
        </c:title>
        <c:numFmt formatCode="&quot;£&quot;#,##0.0;[Red]&quot;£&quot;#,##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420608"/>
        <c:crosses val="autoZero"/>
        <c:crossBetween val="between"/>
      </c:valAx>
      <c:valAx>
        <c:axId val="630428416"/>
        <c:scaling>
          <c:orientation val="minMax"/>
        </c:scaling>
        <c:delete val="0"/>
        <c:axPos val="r"/>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GB"/>
                  <a:t>Lending to </a:t>
                </a:r>
                <a:r>
                  <a:rPr lang="en-GB" sz="1000" b="0" i="0" u="none" strike="noStrike" baseline="0">
                    <a:effectLst/>
                  </a:rPr>
                  <a:t>unincorporated businesses and non-profit institutions </a:t>
                </a:r>
              </a:p>
              <a:p>
                <a:pPr>
                  <a:defRPr sz="1000" b="0" i="0" u="none" strike="noStrike" kern="1200" baseline="0">
                    <a:solidFill>
                      <a:schemeClr val="tx1">
                        <a:lumMod val="65000"/>
                        <a:lumOff val="35000"/>
                      </a:schemeClr>
                    </a:solidFill>
                    <a:latin typeface="+mn-lt"/>
                    <a:ea typeface="+mn-ea"/>
                    <a:cs typeface="+mn-cs"/>
                  </a:defRPr>
                </a:pPr>
                <a:r>
                  <a:rPr lang="en-GB" sz="1000" b="0" i="0" u="none" strike="noStrike" baseline="0">
                    <a:effectLst/>
                  </a:rPr>
                  <a:t>(£ billion)</a:t>
                </a:r>
                <a:endParaRPr lang="en-GB"/>
              </a:p>
            </c:rich>
          </c:tx>
          <c:overlay val="0"/>
          <c:spPr>
            <a:noFill/>
            <a:ln>
              <a:noFill/>
            </a:ln>
            <a:effectLst/>
          </c:spPr>
        </c:title>
        <c:numFmt formatCode="&quot;£&quot;#,##0.0;[Red]&quot;£&quot;#,##0.0"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430336"/>
        <c:crosses val="max"/>
        <c:crossBetween val="between"/>
      </c:valAx>
      <c:catAx>
        <c:axId val="630430336"/>
        <c:scaling>
          <c:orientation val="minMax"/>
        </c:scaling>
        <c:delete val="1"/>
        <c:axPos val="b"/>
        <c:numFmt formatCode="General" sourceLinked="1"/>
        <c:majorTickMark val="out"/>
        <c:minorTickMark val="none"/>
        <c:tickLblPos val="nextTo"/>
        <c:crossAx val="63042841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a:t>Average UK House Price 1970 to 2017</a:t>
            </a:r>
          </a:p>
        </c:rich>
      </c:tx>
      <c:overlay val="0"/>
    </c:title>
    <c:autoTitleDeleted val="0"/>
    <c:plotArea>
      <c:layout/>
      <c:lineChart>
        <c:grouping val="standard"/>
        <c:varyColors val="0"/>
        <c:ser>
          <c:idx val="1"/>
          <c:order val="1"/>
          <c:tx>
            <c:strRef>
              <c:f>'House Prices'!$B$2</c:f>
              <c:strCache>
                <c:ptCount val="1"/>
                <c:pt idx="0">
                  <c:v>Average UK House Price</c:v>
                </c:pt>
              </c:strCache>
            </c:strRef>
          </c:tx>
          <c:spPr>
            <a:ln>
              <a:solidFill>
                <a:srgbClr val="FF0000"/>
              </a:solidFill>
            </a:ln>
          </c:spPr>
          <c:marker>
            <c:symbol val="none"/>
          </c:marker>
          <c:cat>
            <c:numRef>
              <c:f>'House Prices'!$A$3:$A$50</c:f>
              <c:numCache>
                <c:formatCode>General</c:formatCode>
                <c:ptCount val="48"/>
                <c:pt idx="0">
                  <c:v>1970</c:v>
                </c:pt>
                <c:pt idx="1">
                  <c:v>1971</c:v>
                </c:pt>
                <c:pt idx="2">
                  <c:v>1972</c:v>
                </c:pt>
                <c:pt idx="3">
                  <c:v>1973</c:v>
                </c:pt>
                <c:pt idx="4">
                  <c:v>1974</c:v>
                </c:pt>
                <c:pt idx="5">
                  <c:v>1975</c:v>
                </c:pt>
                <c:pt idx="6">
                  <c:v>1976</c:v>
                </c:pt>
                <c:pt idx="7">
                  <c:v>1977</c:v>
                </c:pt>
                <c:pt idx="8">
                  <c:v>1978</c:v>
                </c:pt>
                <c:pt idx="9">
                  <c:v>1979</c:v>
                </c:pt>
                <c:pt idx="10">
                  <c:v>1980</c:v>
                </c:pt>
                <c:pt idx="11">
                  <c:v>1981</c:v>
                </c:pt>
                <c:pt idx="12">
                  <c:v>1982</c:v>
                </c:pt>
                <c:pt idx="13">
                  <c:v>1983</c:v>
                </c:pt>
                <c:pt idx="14">
                  <c:v>1984</c:v>
                </c:pt>
                <c:pt idx="15">
                  <c:v>1985</c:v>
                </c:pt>
                <c:pt idx="16">
                  <c:v>1986</c:v>
                </c:pt>
                <c:pt idx="17">
                  <c:v>1987</c:v>
                </c:pt>
                <c:pt idx="18">
                  <c:v>1988</c:v>
                </c:pt>
                <c:pt idx="19">
                  <c:v>1989</c:v>
                </c:pt>
                <c:pt idx="20">
                  <c:v>1990</c:v>
                </c:pt>
                <c:pt idx="21">
                  <c:v>1991</c:v>
                </c:pt>
                <c:pt idx="22">
                  <c:v>1992</c:v>
                </c:pt>
                <c:pt idx="23">
                  <c:v>1993</c:v>
                </c:pt>
                <c:pt idx="24">
                  <c:v>1994</c:v>
                </c:pt>
                <c:pt idx="25">
                  <c:v>1995</c:v>
                </c:pt>
                <c:pt idx="26">
                  <c:v>1996</c:v>
                </c:pt>
                <c:pt idx="27">
                  <c:v>1997</c:v>
                </c:pt>
                <c:pt idx="28">
                  <c:v>1998</c:v>
                </c:pt>
                <c:pt idx="29">
                  <c:v>1999</c:v>
                </c:pt>
                <c:pt idx="30">
                  <c:v>2000</c:v>
                </c:pt>
                <c:pt idx="31">
                  <c:v>2001</c:v>
                </c:pt>
                <c:pt idx="32">
                  <c:v>2002</c:v>
                </c:pt>
                <c:pt idx="33">
                  <c:v>2003</c:v>
                </c:pt>
                <c:pt idx="34">
                  <c:v>2004</c:v>
                </c:pt>
                <c:pt idx="35">
                  <c:v>2005</c:v>
                </c:pt>
                <c:pt idx="36">
                  <c:v>2006</c:v>
                </c:pt>
                <c:pt idx="37">
                  <c:v>2007</c:v>
                </c:pt>
                <c:pt idx="38">
                  <c:v>2008</c:v>
                </c:pt>
                <c:pt idx="39">
                  <c:v>2009</c:v>
                </c:pt>
                <c:pt idx="40">
                  <c:v>2010</c:v>
                </c:pt>
                <c:pt idx="41">
                  <c:v>2011</c:v>
                </c:pt>
                <c:pt idx="42">
                  <c:v>2012</c:v>
                </c:pt>
                <c:pt idx="43">
                  <c:v>2013</c:v>
                </c:pt>
                <c:pt idx="44">
                  <c:v>2014</c:v>
                </c:pt>
                <c:pt idx="45">
                  <c:v>2015</c:v>
                </c:pt>
                <c:pt idx="46">
                  <c:v>2016</c:v>
                </c:pt>
                <c:pt idx="47">
                  <c:v>2017</c:v>
                </c:pt>
              </c:numCache>
            </c:numRef>
          </c:cat>
          <c:val>
            <c:numRef>
              <c:f>'House Prices'!$B$3:$B$50</c:f>
              <c:numCache>
                <c:formatCode>"£"#,##0_);[Red]\("£"#,##0\)</c:formatCode>
                <c:ptCount val="48"/>
                <c:pt idx="0">
                  <c:v>5000</c:v>
                </c:pt>
                <c:pt idx="1">
                  <c:v>6000</c:v>
                </c:pt>
                <c:pt idx="2">
                  <c:v>7000</c:v>
                </c:pt>
                <c:pt idx="3">
                  <c:v>10000</c:v>
                </c:pt>
                <c:pt idx="4">
                  <c:v>11000</c:v>
                </c:pt>
                <c:pt idx="5">
                  <c:v>12000</c:v>
                </c:pt>
                <c:pt idx="6">
                  <c:v>13000</c:v>
                </c:pt>
                <c:pt idx="7">
                  <c:v>14000</c:v>
                </c:pt>
                <c:pt idx="8">
                  <c:v>16000</c:v>
                </c:pt>
                <c:pt idx="9">
                  <c:v>20000</c:v>
                </c:pt>
                <c:pt idx="10">
                  <c:v>24000</c:v>
                </c:pt>
                <c:pt idx="11">
                  <c:v>24000</c:v>
                </c:pt>
                <c:pt idx="12">
                  <c:v>24000</c:v>
                </c:pt>
                <c:pt idx="13">
                  <c:v>26000</c:v>
                </c:pt>
                <c:pt idx="14">
                  <c:v>29000</c:v>
                </c:pt>
                <c:pt idx="15">
                  <c:v>31000</c:v>
                </c:pt>
                <c:pt idx="16">
                  <c:v>36000</c:v>
                </c:pt>
                <c:pt idx="17">
                  <c:v>40000</c:v>
                </c:pt>
                <c:pt idx="18">
                  <c:v>49000</c:v>
                </c:pt>
                <c:pt idx="19">
                  <c:v>55000</c:v>
                </c:pt>
                <c:pt idx="20">
                  <c:v>60000</c:v>
                </c:pt>
                <c:pt idx="21">
                  <c:v>62000</c:v>
                </c:pt>
                <c:pt idx="22">
                  <c:v>61000</c:v>
                </c:pt>
                <c:pt idx="23">
                  <c:v>62000</c:v>
                </c:pt>
                <c:pt idx="24">
                  <c:v>65000</c:v>
                </c:pt>
                <c:pt idx="25">
                  <c:v>66000</c:v>
                </c:pt>
                <c:pt idx="26">
                  <c:v>71000</c:v>
                </c:pt>
                <c:pt idx="27">
                  <c:v>76000</c:v>
                </c:pt>
                <c:pt idx="28">
                  <c:v>82000</c:v>
                </c:pt>
                <c:pt idx="29">
                  <c:v>93000</c:v>
                </c:pt>
                <c:pt idx="30">
                  <c:v>102000</c:v>
                </c:pt>
                <c:pt idx="31">
                  <c:v>113000</c:v>
                </c:pt>
                <c:pt idx="32">
                  <c:v>128000</c:v>
                </c:pt>
                <c:pt idx="33">
                  <c:v>156000</c:v>
                </c:pt>
                <c:pt idx="34">
                  <c:v>180000</c:v>
                </c:pt>
                <c:pt idx="35">
                  <c:v>191000</c:v>
                </c:pt>
                <c:pt idx="36">
                  <c:v>205000</c:v>
                </c:pt>
                <c:pt idx="37">
                  <c:v>223000</c:v>
                </c:pt>
                <c:pt idx="38">
                  <c:v>228000</c:v>
                </c:pt>
                <c:pt idx="39">
                  <c:v>226000</c:v>
                </c:pt>
                <c:pt idx="40">
                  <c:v>251000</c:v>
                </c:pt>
                <c:pt idx="41">
                  <c:v>245000</c:v>
                </c:pt>
                <c:pt idx="42">
                  <c:v>246000</c:v>
                </c:pt>
                <c:pt idx="43">
                  <c:v>251000</c:v>
                </c:pt>
                <c:pt idx="44">
                  <c:v>267000</c:v>
                </c:pt>
                <c:pt idx="45">
                  <c:v>277000</c:v>
                </c:pt>
                <c:pt idx="46">
                  <c:v>283000</c:v>
                </c:pt>
                <c:pt idx="47">
                  <c:v>280000</c:v>
                </c:pt>
              </c:numCache>
            </c:numRef>
          </c:val>
          <c:smooth val="0"/>
          <c:extLst>
            <c:ext xmlns:c16="http://schemas.microsoft.com/office/drawing/2014/chart" uri="{C3380CC4-5D6E-409C-BE32-E72D297353CC}">
              <c16:uniqueId val="{00000000-6431-4CE6-86F8-E541A71C148C}"/>
            </c:ext>
          </c:extLst>
        </c:ser>
        <c:dLbls>
          <c:showLegendKey val="0"/>
          <c:showVal val="0"/>
          <c:showCatName val="0"/>
          <c:showSerName val="0"/>
          <c:showPercent val="0"/>
          <c:showBubbleSize val="0"/>
        </c:dLbls>
        <c:smooth val="0"/>
        <c:axId val="630848128"/>
        <c:axId val="630629120"/>
        <c:extLst>
          <c:ext xmlns:c15="http://schemas.microsoft.com/office/drawing/2012/chart" uri="{02D57815-91ED-43cb-92C2-25804820EDAC}">
            <c15:filteredLineSeries>
              <c15:ser>
                <c:idx val="0"/>
                <c:order val="0"/>
                <c:tx>
                  <c:strRef>
                    <c:extLst>
                      <c:ext uri="{02D57815-91ED-43cb-92C2-25804820EDAC}">
                        <c15:formulaRef>
                          <c15:sqref>'House Prices'!$A$2</c15:sqref>
                        </c15:formulaRef>
                      </c:ext>
                    </c:extLst>
                    <c:strCache>
                      <c:ptCount val="1"/>
                      <c:pt idx="0">
                        <c:v>Year</c:v>
                      </c:pt>
                    </c:strCache>
                  </c:strRef>
                </c:tx>
                <c:marker>
                  <c:symbol val="none"/>
                </c:marker>
                <c:cat>
                  <c:numRef>
                    <c:extLst>
                      <c:ext uri="{02D57815-91ED-43cb-92C2-25804820EDAC}">
                        <c15:formulaRef>
                          <c15:sqref>'House Prices'!$A$3:$A$50</c15:sqref>
                        </c15:formulaRef>
                      </c:ext>
                    </c:extLst>
                    <c:numCache>
                      <c:formatCode>General</c:formatCode>
                      <c:ptCount val="48"/>
                      <c:pt idx="0">
                        <c:v>1970</c:v>
                      </c:pt>
                      <c:pt idx="1">
                        <c:v>1971</c:v>
                      </c:pt>
                      <c:pt idx="2">
                        <c:v>1972</c:v>
                      </c:pt>
                      <c:pt idx="3">
                        <c:v>1973</c:v>
                      </c:pt>
                      <c:pt idx="4">
                        <c:v>1974</c:v>
                      </c:pt>
                      <c:pt idx="5">
                        <c:v>1975</c:v>
                      </c:pt>
                      <c:pt idx="6">
                        <c:v>1976</c:v>
                      </c:pt>
                      <c:pt idx="7">
                        <c:v>1977</c:v>
                      </c:pt>
                      <c:pt idx="8">
                        <c:v>1978</c:v>
                      </c:pt>
                      <c:pt idx="9">
                        <c:v>1979</c:v>
                      </c:pt>
                      <c:pt idx="10">
                        <c:v>1980</c:v>
                      </c:pt>
                      <c:pt idx="11">
                        <c:v>1981</c:v>
                      </c:pt>
                      <c:pt idx="12">
                        <c:v>1982</c:v>
                      </c:pt>
                      <c:pt idx="13">
                        <c:v>1983</c:v>
                      </c:pt>
                      <c:pt idx="14">
                        <c:v>1984</c:v>
                      </c:pt>
                      <c:pt idx="15">
                        <c:v>1985</c:v>
                      </c:pt>
                      <c:pt idx="16">
                        <c:v>1986</c:v>
                      </c:pt>
                      <c:pt idx="17">
                        <c:v>1987</c:v>
                      </c:pt>
                      <c:pt idx="18">
                        <c:v>1988</c:v>
                      </c:pt>
                      <c:pt idx="19">
                        <c:v>1989</c:v>
                      </c:pt>
                      <c:pt idx="20">
                        <c:v>1990</c:v>
                      </c:pt>
                      <c:pt idx="21">
                        <c:v>1991</c:v>
                      </c:pt>
                      <c:pt idx="22">
                        <c:v>1992</c:v>
                      </c:pt>
                      <c:pt idx="23">
                        <c:v>1993</c:v>
                      </c:pt>
                      <c:pt idx="24">
                        <c:v>1994</c:v>
                      </c:pt>
                      <c:pt idx="25">
                        <c:v>1995</c:v>
                      </c:pt>
                      <c:pt idx="26">
                        <c:v>1996</c:v>
                      </c:pt>
                      <c:pt idx="27">
                        <c:v>1997</c:v>
                      </c:pt>
                      <c:pt idx="28">
                        <c:v>1998</c:v>
                      </c:pt>
                      <c:pt idx="29">
                        <c:v>1999</c:v>
                      </c:pt>
                      <c:pt idx="30">
                        <c:v>2000</c:v>
                      </c:pt>
                      <c:pt idx="31">
                        <c:v>2001</c:v>
                      </c:pt>
                      <c:pt idx="32">
                        <c:v>2002</c:v>
                      </c:pt>
                      <c:pt idx="33">
                        <c:v>2003</c:v>
                      </c:pt>
                      <c:pt idx="34">
                        <c:v>2004</c:v>
                      </c:pt>
                      <c:pt idx="35">
                        <c:v>2005</c:v>
                      </c:pt>
                      <c:pt idx="36">
                        <c:v>2006</c:v>
                      </c:pt>
                      <c:pt idx="37">
                        <c:v>2007</c:v>
                      </c:pt>
                      <c:pt idx="38">
                        <c:v>2008</c:v>
                      </c:pt>
                      <c:pt idx="39">
                        <c:v>2009</c:v>
                      </c:pt>
                      <c:pt idx="40">
                        <c:v>2010</c:v>
                      </c:pt>
                      <c:pt idx="41">
                        <c:v>2011</c:v>
                      </c:pt>
                      <c:pt idx="42">
                        <c:v>2012</c:v>
                      </c:pt>
                      <c:pt idx="43">
                        <c:v>2013</c:v>
                      </c:pt>
                      <c:pt idx="44">
                        <c:v>2014</c:v>
                      </c:pt>
                      <c:pt idx="45">
                        <c:v>2015</c:v>
                      </c:pt>
                      <c:pt idx="46">
                        <c:v>2016</c:v>
                      </c:pt>
                      <c:pt idx="47">
                        <c:v>2017</c:v>
                      </c:pt>
                    </c:numCache>
                  </c:numRef>
                </c:cat>
                <c:val>
                  <c:numRef>
                    <c:extLst>
                      <c:ext uri="{02D57815-91ED-43cb-92C2-25804820EDAC}">
                        <c15:formulaRef>
                          <c15:sqref>'House Prices'!$A$3:$A$50</c15:sqref>
                        </c15:formulaRef>
                      </c:ext>
                    </c:extLst>
                    <c:numCache>
                      <c:formatCode>General</c:formatCode>
                      <c:ptCount val="48"/>
                      <c:pt idx="0">
                        <c:v>1970</c:v>
                      </c:pt>
                      <c:pt idx="1">
                        <c:v>1971</c:v>
                      </c:pt>
                      <c:pt idx="2">
                        <c:v>1972</c:v>
                      </c:pt>
                      <c:pt idx="3">
                        <c:v>1973</c:v>
                      </c:pt>
                      <c:pt idx="4">
                        <c:v>1974</c:v>
                      </c:pt>
                      <c:pt idx="5">
                        <c:v>1975</c:v>
                      </c:pt>
                      <c:pt idx="6">
                        <c:v>1976</c:v>
                      </c:pt>
                      <c:pt idx="7">
                        <c:v>1977</c:v>
                      </c:pt>
                      <c:pt idx="8">
                        <c:v>1978</c:v>
                      </c:pt>
                      <c:pt idx="9">
                        <c:v>1979</c:v>
                      </c:pt>
                      <c:pt idx="10">
                        <c:v>1980</c:v>
                      </c:pt>
                      <c:pt idx="11">
                        <c:v>1981</c:v>
                      </c:pt>
                      <c:pt idx="12">
                        <c:v>1982</c:v>
                      </c:pt>
                      <c:pt idx="13">
                        <c:v>1983</c:v>
                      </c:pt>
                      <c:pt idx="14">
                        <c:v>1984</c:v>
                      </c:pt>
                      <c:pt idx="15">
                        <c:v>1985</c:v>
                      </c:pt>
                      <c:pt idx="16">
                        <c:v>1986</c:v>
                      </c:pt>
                      <c:pt idx="17">
                        <c:v>1987</c:v>
                      </c:pt>
                      <c:pt idx="18">
                        <c:v>1988</c:v>
                      </c:pt>
                      <c:pt idx="19">
                        <c:v>1989</c:v>
                      </c:pt>
                      <c:pt idx="20">
                        <c:v>1990</c:v>
                      </c:pt>
                      <c:pt idx="21">
                        <c:v>1991</c:v>
                      </c:pt>
                      <c:pt idx="22">
                        <c:v>1992</c:v>
                      </c:pt>
                      <c:pt idx="23">
                        <c:v>1993</c:v>
                      </c:pt>
                      <c:pt idx="24">
                        <c:v>1994</c:v>
                      </c:pt>
                      <c:pt idx="25">
                        <c:v>1995</c:v>
                      </c:pt>
                      <c:pt idx="26">
                        <c:v>1996</c:v>
                      </c:pt>
                      <c:pt idx="27">
                        <c:v>1997</c:v>
                      </c:pt>
                      <c:pt idx="28">
                        <c:v>1998</c:v>
                      </c:pt>
                      <c:pt idx="29">
                        <c:v>1999</c:v>
                      </c:pt>
                      <c:pt idx="30">
                        <c:v>2000</c:v>
                      </c:pt>
                      <c:pt idx="31">
                        <c:v>2001</c:v>
                      </c:pt>
                      <c:pt idx="32">
                        <c:v>2002</c:v>
                      </c:pt>
                      <c:pt idx="33">
                        <c:v>2003</c:v>
                      </c:pt>
                      <c:pt idx="34">
                        <c:v>2004</c:v>
                      </c:pt>
                      <c:pt idx="35">
                        <c:v>2005</c:v>
                      </c:pt>
                      <c:pt idx="36">
                        <c:v>2006</c:v>
                      </c:pt>
                      <c:pt idx="37">
                        <c:v>2007</c:v>
                      </c:pt>
                      <c:pt idx="38">
                        <c:v>2008</c:v>
                      </c:pt>
                      <c:pt idx="39">
                        <c:v>2009</c:v>
                      </c:pt>
                      <c:pt idx="40">
                        <c:v>2010</c:v>
                      </c:pt>
                      <c:pt idx="41">
                        <c:v>2011</c:v>
                      </c:pt>
                      <c:pt idx="42">
                        <c:v>2012</c:v>
                      </c:pt>
                      <c:pt idx="43">
                        <c:v>2013</c:v>
                      </c:pt>
                      <c:pt idx="44">
                        <c:v>2014</c:v>
                      </c:pt>
                      <c:pt idx="45">
                        <c:v>2015</c:v>
                      </c:pt>
                      <c:pt idx="46">
                        <c:v>2016</c:v>
                      </c:pt>
                      <c:pt idx="47">
                        <c:v>2017</c:v>
                      </c:pt>
                    </c:numCache>
                  </c:numRef>
                </c:val>
                <c:smooth val="0"/>
                <c:extLst>
                  <c:ext xmlns:c16="http://schemas.microsoft.com/office/drawing/2014/chart" uri="{C3380CC4-5D6E-409C-BE32-E72D297353CC}">
                    <c16:uniqueId val="{00000001-6431-4CE6-86F8-E541A71C148C}"/>
                  </c:ext>
                </c:extLst>
              </c15:ser>
            </c15:filteredLineSeries>
          </c:ext>
        </c:extLst>
      </c:lineChart>
      <c:catAx>
        <c:axId val="630848128"/>
        <c:scaling>
          <c:orientation val="minMax"/>
        </c:scaling>
        <c:delete val="0"/>
        <c:axPos val="b"/>
        <c:numFmt formatCode="General" sourceLinked="1"/>
        <c:majorTickMark val="out"/>
        <c:minorTickMark val="none"/>
        <c:tickLblPos val="nextTo"/>
        <c:crossAx val="630629120"/>
        <c:crosses val="autoZero"/>
        <c:auto val="1"/>
        <c:lblAlgn val="ctr"/>
        <c:lblOffset val="100"/>
        <c:noMultiLvlLbl val="0"/>
      </c:catAx>
      <c:valAx>
        <c:axId val="630629120"/>
        <c:scaling>
          <c:orientation val="minMax"/>
        </c:scaling>
        <c:delete val="0"/>
        <c:axPos val="l"/>
        <c:majorGridlines/>
        <c:numFmt formatCode="&quot;£&quot;#,##0_);[Red]\(&quot;£&quot;#,##0\)" sourceLinked="1"/>
        <c:majorTickMark val="out"/>
        <c:minorTickMark val="none"/>
        <c:tickLblPos val="nextTo"/>
        <c:crossAx val="630848128"/>
        <c:crosses val="autoZero"/>
        <c:crossBetween val="between"/>
      </c:valAx>
      <c:spPr>
        <a:gradFill flip="none" rotWithShape="1">
          <a:gsLst>
            <a:gs pos="0">
              <a:srgbClr val="FE949E"/>
            </a:gs>
            <a:gs pos="74000">
              <a:schemeClr val="accent5">
                <a:lumMod val="45000"/>
                <a:lumOff val="55000"/>
              </a:schemeClr>
            </a:gs>
            <a:gs pos="83000">
              <a:schemeClr val="accent5">
                <a:lumMod val="45000"/>
                <a:lumOff val="55000"/>
              </a:schemeClr>
            </a:gs>
            <a:gs pos="100000">
              <a:schemeClr val="accent5">
                <a:lumMod val="30000"/>
                <a:lumOff val="70000"/>
              </a:schemeClr>
            </a:gs>
          </a:gsLst>
          <a:lin ang="5400000" scaled="1"/>
          <a:tileRect/>
        </a:gradFill>
      </c:spPr>
    </c:plotArea>
    <c:plotVisOnly val="1"/>
    <c:dispBlanksAs val="gap"/>
    <c:showDLblsOverMax val="0"/>
  </c:chart>
  <c:spPr>
    <a:gradFill flip="none" rotWithShape="1">
      <a:gsLst>
        <a:gs pos="0">
          <a:srgbClr val="FF0000"/>
        </a:gs>
        <a:gs pos="35000">
          <a:schemeClr val="accent5">
            <a:lumMod val="45000"/>
            <a:lumOff val="55000"/>
          </a:schemeClr>
        </a:gs>
        <a:gs pos="72000">
          <a:schemeClr val="accent5">
            <a:lumMod val="45000"/>
            <a:lumOff val="55000"/>
          </a:schemeClr>
        </a:gs>
        <a:gs pos="100000">
          <a:schemeClr val="accent5">
            <a:lumMod val="30000"/>
            <a:lumOff val="70000"/>
          </a:schemeClr>
        </a:gs>
      </a:gsLst>
      <a:lin ang="10800000" scaled="1"/>
      <a:tileRect/>
    </a:gradFill>
  </c:sp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0"/>
          <c:order val="0"/>
          <c:tx>
            <c:strRef>
              <c:f>'House Prices'!$B$83</c:f>
              <c:strCache>
                <c:ptCount val="1"/>
                <c:pt idx="0">
                  <c:v>Ratio of median house price to median annual earnings in England</c:v>
                </c:pt>
              </c:strCache>
            </c:strRef>
          </c:tx>
          <c:spPr>
            <a:ln w="28575" cap="rnd">
              <a:solidFill>
                <a:srgbClr val="FF0000"/>
              </a:solidFill>
              <a:round/>
            </a:ln>
            <a:effectLst/>
          </c:spPr>
          <c:marker>
            <c:symbol val="none"/>
          </c:marker>
          <c:cat>
            <c:numRef>
              <c:f>'House Prices'!$A$84:$A$103</c:f>
              <c:numCache>
                <c:formatCode>General</c:formatCode>
                <c:ptCount val="20"/>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pt idx="18">
                  <c:v>2015</c:v>
                </c:pt>
                <c:pt idx="19">
                  <c:v>2016</c:v>
                </c:pt>
              </c:numCache>
            </c:numRef>
          </c:cat>
          <c:val>
            <c:numRef>
              <c:f>'House Prices'!$B$84:$B$103</c:f>
              <c:numCache>
                <c:formatCode>0.0;[Red]0.0</c:formatCode>
                <c:ptCount val="20"/>
                <c:pt idx="0">
                  <c:v>3.54</c:v>
                </c:pt>
                <c:pt idx="1">
                  <c:v>3.67</c:v>
                </c:pt>
                <c:pt idx="2">
                  <c:v>3.96</c:v>
                </c:pt>
                <c:pt idx="3">
                  <c:v>4.18</c:v>
                </c:pt>
                <c:pt idx="4">
                  <c:v>4.5</c:v>
                </c:pt>
                <c:pt idx="5">
                  <c:v>5.12</c:v>
                </c:pt>
                <c:pt idx="6">
                  <c:v>5.91</c:v>
                </c:pt>
                <c:pt idx="7">
                  <c:v>6.58</c:v>
                </c:pt>
                <c:pt idx="8">
                  <c:v>6.79</c:v>
                </c:pt>
                <c:pt idx="9">
                  <c:v>6.95</c:v>
                </c:pt>
                <c:pt idx="10">
                  <c:v>7.15</c:v>
                </c:pt>
                <c:pt idx="11">
                  <c:v>6.95</c:v>
                </c:pt>
                <c:pt idx="12">
                  <c:v>6.39</c:v>
                </c:pt>
                <c:pt idx="13">
                  <c:v>6.85</c:v>
                </c:pt>
                <c:pt idx="14">
                  <c:v>6.8</c:v>
                </c:pt>
                <c:pt idx="15">
                  <c:v>6.77</c:v>
                </c:pt>
                <c:pt idx="16">
                  <c:v>6.76</c:v>
                </c:pt>
                <c:pt idx="17">
                  <c:v>7.09</c:v>
                </c:pt>
                <c:pt idx="18">
                  <c:v>7.52</c:v>
                </c:pt>
                <c:pt idx="19">
                  <c:v>7.72</c:v>
                </c:pt>
              </c:numCache>
            </c:numRef>
          </c:val>
          <c:smooth val="0"/>
          <c:extLst>
            <c:ext xmlns:c16="http://schemas.microsoft.com/office/drawing/2014/chart" uri="{C3380CC4-5D6E-409C-BE32-E72D297353CC}">
              <c16:uniqueId val="{00000000-D20A-45AF-9DD3-7C55C927C935}"/>
            </c:ext>
          </c:extLst>
        </c:ser>
        <c:dLbls>
          <c:showLegendKey val="0"/>
          <c:showVal val="0"/>
          <c:showCatName val="0"/>
          <c:showSerName val="0"/>
          <c:showPercent val="0"/>
          <c:showBubbleSize val="0"/>
        </c:dLbls>
        <c:smooth val="0"/>
        <c:axId val="630734848"/>
        <c:axId val="630736384"/>
      </c:lineChart>
      <c:catAx>
        <c:axId val="630734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736384"/>
        <c:crosses val="autoZero"/>
        <c:auto val="1"/>
        <c:lblAlgn val="ctr"/>
        <c:lblOffset val="100"/>
        <c:noMultiLvlLbl val="0"/>
      </c:catAx>
      <c:valAx>
        <c:axId val="630736384"/>
        <c:scaling>
          <c:orientation val="minMax"/>
        </c:scaling>
        <c:delete val="0"/>
        <c:axPos val="l"/>
        <c:majorGridlines>
          <c:spPr>
            <a:ln w="9525" cap="flat" cmpd="sng" algn="ctr">
              <a:solidFill>
                <a:schemeClr val="tx1">
                  <a:lumMod val="15000"/>
                  <a:lumOff val="85000"/>
                </a:schemeClr>
              </a:solidFill>
              <a:round/>
            </a:ln>
            <a:effectLst/>
          </c:spPr>
        </c:majorGridlines>
        <c:numFmt formatCode="0.0;[Red]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30734848"/>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A15AD-8C40-41D0-B002-BB6A2BC2A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Pages>
  <Words>3127</Words>
  <Characters>17830</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Maurice Starkey</dc:creator>
  <cp:keywords/>
  <dc:description/>
  <cp:lastModifiedBy>Maurice Starkey</cp:lastModifiedBy>
  <cp:revision>8</cp:revision>
  <dcterms:created xsi:type="dcterms:W3CDTF">2019-10-26T09:43:00Z</dcterms:created>
  <dcterms:modified xsi:type="dcterms:W3CDTF">2019-11-09T14:37:00Z</dcterms:modified>
</cp:coreProperties>
</file>